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79" w:rsidRPr="00D67D79" w:rsidRDefault="00D67D79" w:rsidP="00D67D7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32"/>
          <w:szCs w:val="24"/>
        </w:rPr>
      </w:pPr>
      <w:r w:rsidRPr="00D67D79">
        <w:rPr>
          <w:rFonts w:ascii="Calibri" w:eastAsia="宋体" w:hAnsi="Calibri" w:cs="Calibri"/>
          <w:b/>
          <w:bCs/>
          <w:color w:val="000000"/>
          <w:kern w:val="0"/>
          <w:sz w:val="28"/>
          <w:u w:val="single"/>
        </w:rPr>
        <w:t>Summer Term 2019</w:t>
      </w:r>
    </w:p>
    <w:p w:rsidR="00D67D79" w:rsidRPr="00D67D79" w:rsidRDefault="00D67D79" w:rsidP="00D67D7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2"/>
        </w:rPr>
        <w:t>Our Summer Term 2019 consists of 2 sessions:</w:t>
      </w:r>
    </w:p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694"/>
        <w:gridCol w:w="2693"/>
        <w:gridCol w:w="2693"/>
      </w:tblGrid>
      <w:tr w:rsidR="00D67D79" w:rsidRPr="00D67D79" w:rsidTr="00D67D79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Study Period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Summer Hostel Period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Application Deadline</w:t>
            </w:r>
          </w:p>
        </w:tc>
      </w:tr>
      <w:tr w:rsidR="00D67D79" w:rsidRPr="00D67D79" w:rsidTr="00D67D79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Session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D67D79">
              <w:rPr>
                <w:rFonts w:ascii="Calibri" w:eastAsia="宋体" w:hAnsi="Calibri" w:cs="Calibri"/>
                <w:kern w:val="0"/>
                <w:sz w:val="22"/>
              </w:rPr>
              <w:t>31 May – 10 July 2019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kern w:val="0"/>
                <w:sz w:val="22"/>
              </w:rPr>
              <w:t>29 May – 12 July 2019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kern w:val="0"/>
                <w:sz w:val="22"/>
              </w:rPr>
              <w:t>4 March 2019</w:t>
            </w:r>
          </w:p>
        </w:tc>
      </w:tr>
      <w:tr w:rsidR="00D67D79" w:rsidRPr="00D67D79" w:rsidTr="00D67D79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Session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D67D79">
              <w:rPr>
                <w:rFonts w:ascii="Calibri" w:eastAsia="宋体" w:hAnsi="Calibri" w:cs="Calibri"/>
                <w:kern w:val="0"/>
                <w:sz w:val="22"/>
              </w:rPr>
              <w:t>15 July – 2 August 2019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kern w:val="0"/>
                <w:sz w:val="22"/>
              </w:rPr>
              <w:t>11 July – 6 August 2019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kern w:val="0"/>
                <w:sz w:val="22"/>
              </w:rPr>
              <w:t>15 April 2019</w:t>
            </w:r>
          </w:p>
        </w:tc>
      </w:tr>
    </w:tbl>
    <w:p w:rsidR="00D67D79" w:rsidRPr="00D67D79" w:rsidRDefault="00D67D79" w:rsidP="00D67D7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2"/>
        </w:rPr>
        <w:t> </w:t>
      </w:r>
    </w:p>
    <w:p w:rsidR="00F47F91" w:rsidRDefault="00F47F91"/>
    <w:p w:rsidR="00D67D79" w:rsidRDefault="00D67D79"/>
    <w:p w:rsidR="00D67D79" w:rsidRPr="00D67D79" w:rsidRDefault="00D67D79" w:rsidP="00D67D79">
      <w:pPr>
        <w:widowControl/>
        <w:shd w:val="clear" w:color="auto" w:fill="FFFFFF"/>
        <w:rPr>
          <w:rFonts w:ascii="Calibri" w:eastAsia="宋体" w:hAnsi="Calibri" w:cs="Calibri"/>
          <w:b/>
          <w:bCs/>
          <w:color w:val="000000"/>
          <w:kern w:val="0"/>
          <w:sz w:val="28"/>
          <w:u w:val="single"/>
        </w:rPr>
      </w:pPr>
      <w:r w:rsidRPr="00D67D79">
        <w:rPr>
          <w:rFonts w:ascii="Calibri" w:eastAsia="宋体" w:hAnsi="Calibri" w:cs="Calibri" w:hint="eastAsia"/>
          <w:b/>
          <w:bCs/>
          <w:color w:val="000000"/>
          <w:kern w:val="0"/>
          <w:sz w:val="28"/>
          <w:u w:val="single"/>
        </w:rPr>
        <w:t>Fees</w:t>
      </w:r>
    </w:p>
    <w:p w:rsidR="00D67D79" w:rsidRDefault="00D67D79">
      <w:pPr>
        <w:rPr>
          <w:rFonts w:ascii="Calibri" w:hAnsi="Calibri" w:cs="Calibri"/>
          <w:color w:val="000000"/>
          <w:sz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hd w:val="clear" w:color="auto" w:fill="FFFFFF"/>
        </w:rPr>
        <w:t xml:space="preserve">Tuition fee is waived as normal practice. Accommodation fee will depend on the terms and conditions of the exchange agreement between </w:t>
      </w:r>
      <w:proofErr w:type="spellStart"/>
      <w:r>
        <w:rPr>
          <w:rFonts w:ascii="Calibri" w:hAnsi="Calibri" w:cs="Calibri"/>
          <w:color w:val="000000"/>
          <w:sz w:val="22"/>
          <w:shd w:val="clear" w:color="auto" w:fill="FFFFFF"/>
        </w:rPr>
        <w:t>Lingnan</w:t>
      </w:r>
      <w:proofErr w:type="spellEnd"/>
      <w:r>
        <w:rPr>
          <w:rFonts w:ascii="Calibri" w:hAnsi="Calibri" w:cs="Calibri"/>
          <w:color w:val="000000"/>
          <w:sz w:val="22"/>
          <w:shd w:val="clear" w:color="auto" w:fill="FFFFFF"/>
        </w:rPr>
        <w:t xml:space="preserve"> and your institution. In </w:t>
      </w:r>
      <w:proofErr w:type="spellStart"/>
      <w:r>
        <w:rPr>
          <w:rFonts w:ascii="Calibri" w:hAnsi="Calibri" w:cs="Calibri"/>
          <w:color w:val="000000"/>
          <w:sz w:val="22"/>
          <w:shd w:val="clear" w:color="auto" w:fill="FFFFFF"/>
        </w:rPr>
        <w:t>general</w:t>
      </w:r>
      <w:proofErr w:type="gramStart"/>
      <w:r>
        <w:rPr>
          <w:rFonts w:ascii="Calibri" w:hAnsi="Calibri" w:cs="Calibri"/>
          <w:color w:val="000000"/>
          <w:sz w:val="22"/>
          <w:shd w:val="clear" w:color="auto" w:fill="FFFFFF"/>
        </w:rPr>
        <w:t>,hostel</w:t>
      </w:r>
      <w:proofErr w:type="spellEnd"/>
      <w:proofErr w:type="gramEnd"/>
      <w:r>
        <w:rPr>
          <w:rFonts w:ascii="Calibri" w:hAnsi="Calibri" w:cs="Calibri"/>
          <w:color w:val="000000"/>
          <w:sz w:val="22"/>
          <w:shd w:val="clear" w:color="auto" w:fill="FFFFFF"/>
        </w:rPr>
        <w:t xml:space="preserve"> fees are</w:t>
      </w:r>
      <w:r>
        <w:rPr>
          <w:rStyle w:val="apple-converted-space"/>
          <w:rFonts w:ascii="Calibri" w:hAnsi="Calibri" w:cs="Calibri"/>
          <w:color w:val="000000"/>
          <w:sz w:val="22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2"/>
          <w:shd w:val="clear" w:color="auto" w:fill="FFFFFF"/>
        </w:rPr>
        <w:t xml:space="preserve">approximately HK$2,236* for Session 1 and HK$1,300* for Session 2. All exchange students are required to pay an air-conditioning fee to </w:t>
      </w:r>
      <w:proofErr w:type="spellStart"/>
      <w:r>
        <w:rPr>
          <w:rFonts w:ascii="Calibri" w:hAnsi="Calibri" w:cs="Calibri"/>
          <w:color w:val="000000"/>
          <w:sz w:val="22"/>
          <w:shd w:val="clear" w:color="auto" w:fill="FFFFFF"/>
        </w:rPr>
        <w:t>Lingnan</w:t>
      </w:r>
      <w:proofErr w:type="spellEnd"/>
      <w:r>
        <w:rPr>
          <w:rFonts w:ascii="Calibri" w:hAnsi="Calibri" w:cs="Calibri"/>
          <w:color w:val="000000"/>
          <w:sz w:val="22"/>
          <w:shd w:val="clear" w:color="auto" w:fill="FFFFFF"/>
        </w:rPr>
        <w:t>, which is HK$220 for Session 1 and HK$130 for Session 2.</w:t>
      </w:r>
    </w:p>
    <w:p w:rsidR="00D67D79" w:rsidRDefault="00D67D79">
      <w:pPr>
        <w:rPr>
          <w:rFonts w:ascii="Calibri" w:hAnsi="Calibri" w:cs="Calibri"/>
          <w:color w:val="000000"/>
          <w:sz w:val="22"/>
          <w:shd w:val="clear" w:color="auto" w:fill="FFFFFF"/>
        </w:rPr>
      </w:pPr>
    </w:p>
    <w:p w:rsidR="00D67D79" w:rsidRDefault="00D67D79">
      <w:pPr>
        <w:rPr>
          <w:rFonts w:ascii="Calibri" w:hAnsi="Calibri" w:cs="Calibri"/>
          <w:color w:val="000000"/>
          <w:sz w:val="22"/>
          <w:shd w:val="clear" w:color="auto" w:fill="FFFFFF"/>
        </w:rPr>
      </w:pPr>
    </w:p>
    <w:p w:rsidR="00D67D79" w:rsidRPr="00D67D79" w:rsidRDefault="00D67D79" w:rsidP="00D67D79">
      <w:pPr>
        <w:widowControl/>
        <w:shd w:val="clear" w:color="auto" w:fill="FFFFFF"/>
        <w:rPr>
          <w:rFonts w:ascii="Calibri" w:eastAsia="宋体" w:hAnsi="Calibri" w:cs="Calibri"/>
          <w:b/>
          <w:bCs/>
          <w:color w:val="000000"/>
          <w:kern w:val="0"/>
          <w:sz w:val="28"/>
          <w:u w:val="single"/>
        </w:rPr>
      </w:pPr>
      <w:r w:rsidRPr="00D67D79">
        <w:rPr>
          <w:rFonts w:ascii="Calibri" w:eastAsia="宋体" w:hAnsi="Calibri" w:cs="Calibri"/>
          <w:b/>
          <w:bCs/>
          <w:color w:val="000000"/>
          <w:kern w:val="0"/>
          <w:sz w:val="28"/>
          <w:u w:val="single"/>
        </w:rPr>
        <w:t>Courses on Offer and Class Schedule</w:t>
      </w:r>
    </w:p>
    <w:p w:rsidR="00D67D79" w:rsidRPr="00D67D79" w:rsidRDefault="00D67D79" w:rsidP="00D67D7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2"/>
        </w:rPr>
        <w:t>Credit-bearing/ Language Courses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5103"/>
      </w:tblGrid>
      <w:tr w:rsidR="00D67D79" w:rsidRPr="00D67D79" w:rsidTr="00D67D79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Choice of Courses</w:t>
            </w:r>
          </w:p>
        </w:tc>
      </w:tr>
      <w:tr w:rsidR="00D67D79" w:rsidRPr="00D67D79" w:rsidTr="00D67D79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Session 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D67D79">
              <w:rPr>
                <w:rFonts w:ascii="Calibri" w:eastAsia="宋体" w:hAnsi="Calibri" w:cs="Calibri"/>
                <w:kern w:val="0"/>
                <w:sz w:val="22"/>
              </w:rPr>
              <w:t>A minimum of 1 course and a maximum of 2 courses</w:t>
            </w:r>
          </w:p>
        </w:tc>
      </w:tr>
      <w:tr w:rsidR="00D67D79" w:rsidRPr="00D67D79" w:rsidTr="00D67D79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rPr>
                <w:rFonts w:ascii="Times New Roman" w:eastAsia="Microsoft YaHei UI" w:hAnsi="Times New Roman" w:cs="Times New Roman"/>
                <w:kern w:val="0"/>
                <w:sz w:val="24"/>
                <w:szCs w:val="24"/>
              </w:rPr>
            </w:pPr>
            <w:r w:rsidRPr="00D67D79">
              <w:rPr>
                <w:rFonts w:ascii="Calibri" w:eastAsia="Microsoft YaHei UI" w:hAnsi="Calibri" w:cs="Calibri"/>
                <w:b/>
                <w:bCs/>
                <w:kern w:val="0"/>
                <w:sz w:val="22"/>
              </w:rPr>
              <w:t>Session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79" w:rsidRPr="00D67D79" w:rsidRDefault="00D67D79" w:rsidP="00D67D79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D67D79">
              <w:rPr>
                <w:rFonts w:ascii="Calibri" w:eastAsia="宋体" w:hAnsi="Calibri" w:cs="Calibri"/>
                <w:kern w:val="0"/>
                <w:sz w:val="22"/>
              </w:rPr>
              <w:t>1 course only</w:t>
            </w:r>
          </w:p>
        </w:tc>
      </w:tr>
    </w:tbl>
    <w:p w:rsidR="00D67D79" w:rsidRPr="00D67D79" w:rsidRDefault="00D67D79" w:rsidP="00D67D7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2"/>
        </w:rPr>
        <w:t> </w:t>
      </w:r>
    </w:p>
    <w:p w:rsidR="00D67D79" w:rsidRPr="00D67D79" w:rsidRDefault="00D67D79" w:rsidP="00D67D7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2"/>
        </w:rPr>
        <w:t xml:space="preserve">Exchange students could take courses from Session 1 and 2 jointly but they can take a maximum of TWO courses throughout Sessions 1 and 2. Students are advised to consult their academic advisors at home institution regarding their course selection at </w:t>
      </w:r>
      <w:proofErr w:type="spellStart"/>
      <w:r w:rsidRPr="00D67D79">
        <w:rPr>
          <w:rFonts w:ascii="Calibri" w:eastAsia="宋体" w:hAnsi="Calibri" w:cs="Calibri"/>
          <w:color w:val="000000"/>
          <w:kern w:val="0"/>
          <w:sz w:val="22"/>
        </w:rPr>
        <w:t>Lingnan</w:t>
      </w:r>
      <w:proofErr w:type="spellEnd"/>
      <w:r w:rsidRPr="00D67D79">
        <w:rPr>
          <w:rFonts w:ascii="Calibri" w:eastAsia="宋体" w:hAnsi="Calibri" w:cs="Calibri"/>
          <w:color w:val="000000"/>
          <w:kern w:val="0"/>
          <w:sz w:val="22"/>
        </w:rPr>
        <w:t xml:space="preserve"> University and double check for the class schedule before submitting their initial course plans.</w:t>
      </w:r>
    </w:p>
    <w:p w:rsidR="00D67D79" w:rsidRPr="00D67D79" w:rsidRDefault="00D67D79" w:rsidP="00D67D7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7D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D67D79" w:rsidRPr="00D67D79" w:rsidRDefault="00D67D79" w:rsidP="00D67D79">
      <w:pPr>
        <w:widowControl/>
        <w:shd w:val="clear" w:color="auto" w:fill="FFFFFF"/>
        <w:rPr>
          <w:rFonts w:ascii="Calibri" w:eastAsia="宋体" w:hAnsi="Calibri" w:cs="Calibri"/>
          <w:b/>
          <w:bCs/>
          <w:color w:val="000000"/>
          <w:kern w:val="0"/>
          <w:sz w:val="28"/>
          <w:u w:val="single"/>
        </w:rPr>
      </w:pPr>
      <w:r w:rsidRPr="00D67D79">
        <w:rPr>
          <w:rFonts w:ascii="Calibri" w:eastAsia="宋体" w:hAnsi="Calibri" w:cs="Calibri"/>
          <w:b/>
          <w:bCs/>
          <w:color w:val="000000"/>
          <w:kern w:val="0"/>
          <w:sz w:val="28"/>
          <w:u w:val="single"/>
        </w:rPr>
        <w:t>Eligibility</w:t>
      </w:r>
    </w:p>
    <w:p w:rsidR="00D67D79" w:rsidRPr="00D67D79" w:rsidRDefault="00D67D79" w:rsidP="00D67D79">
      <w:pPr>
        <w:widowControl/>
        <w:shd w:val="clear" w:color="auto" w:fill="FFFFFF"/>
        <w:rPr>
          <w:rFonts w:ascii="Calibri" w:eastAsia="宋体" w:hAnsi="Calibri" w:cs="Calibri"/>
          <w:color w:val="000000"/>
          <w:kern w:val="0"/>
          <w:sz w:val="28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4"/>
        </w:rPr>
        <w:t xml:space="preserve">All nominated students have to fulfill the following academic requirements for our exchange </w:t>
      </w:r>
      <w:proofErr w:type="spellStart"/>
      <w:r w:rsidRPr="00D67D79">
        <w:rPr>
          <w:rFonts w:ascii="Calibri" w:eastAsia="宋体" w:hAnsi="Calibri" w:cs="Calibri"/>
          <w:color w:val="000000"/>
          <w:kern w:val="0"/>
          <w:sz w:val="24"/>
        </w:rPr>
        <w:t>programme</w:t>
      </w:r>
      <w:proofErr w:type="spellEnd"/>
      <w:r w:rsidRPr="00D67D79">
        <w:rPr>
          <w:rFonts w:ascii="Calibri" w:eastAsia="宋体" w:hAnsi="Calibri" w:cs="Calibri"/>
          <w:color w:val="000000"/>
          <w:kern w:val="0"/>
          <w:sz w:val="24"/>
        </w:rPr>
        <w:t>:</w:t>
      </w:r>
    </w:p>
    <w:p w:rsidR="00D67D79" w:rsidRPr="00D67D79" w:rsidRDefault="00D67D79" w:rsidP="00D67D79">
      <w:pPr>
        <w:widowControl/>
        <w:shd w:val="clear" w:color="auto" w:fill="FFFFFF"/>
        <w:ind w:left="840" w:hanging="360"/>
        <w:rPr>
          <w:rFonts w:ascii="Calibri" w:eastAsia="宋体" w:hAnsi="Calibri" w:cs="Calibri"/>
          <w:color w:val="000000"/>
          <w:kern w:val="0"/>
          <w:sz w:val="28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4"/>
        </w:rPr>
        <w:t>-</w:t>
      </w:r>
      <w:r w:rsidRPr="00D67D79">
        <w:rPr>
          <w:rFonts w:ascii="Times New Roman" w:eastAsia="宋体" w:hAnsi="Times New Roman" w:cs="Times New Roman"/>
          <w:color w:val="000000"/>
          <w:kern w:val="0"/>
          <w:sz w:val="15"/>
          <w:szCs w:val="14"/>
        </w:rPr>
        <w:t>          </w:t>
      </w:r>
      <w:r w:rsidRPr="00D67D79">
        <w:rPr>
          <w:rFonts w:ascii="Calibri" w:eastAsia="宋体" w:hAnsi="Calibri" w:cs="Calibri"/>
          <w:color w:val="000000"/>
          <w:kern w:val="0"/>
          <w:sz w:val="24"/>
        </w:rPr>
        <w:t>Have completed at least 2 terms of full-time study but not in the final-year-final-semester at home institution</w:t>
      </w:r>
    </w:p>
    <w:p w:rsidR="00D67D79" w:rsidRPr="00D67D79" w:rsidRDefault="00D67D79" w:rsidP="00D67D79">
      <w:pPr>
        <w:widowControl/>
        <w:shd w:val="clear" w:color="auto" w:fill="FFFFFF"/>
        <w:ind w:left="840" w:hanging="360"/>
        <w:rPr>
          <w:rFonts w:ascii="Calibri" w:eastAsia="宋体" w:hAnsi="Calibri" w:cs="Calibri"/>
          <w:color w:val="000000"/>
          <w:kern w:val="0"/>
          <w:sz w:val="28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4"/>
        </w:rPr>
        <w:t>-</w:t>
      </w:r>
      <w:r w:rsidRPr="00D67D79">
        <w:rPr>
          <w:rFonts w:ascii="Times New Roman" w:eastAsia="宋体" w:hAnsi="Times New Roman" w:cs="Times New Roman"/>
          <w:color w:val="000000"/>
          <w:kern w:val="0"/>
          <w:sz w:val="15"/>
          <w:szCs w:val="14"/>
        </w:rPr>
        <w:t>          </w:t>
      </w:r>
      <w:r w:rsidRPr="00D67D79">
        <w:rPr>
          <w:rFonts w:ascii="Calibri" w:eastAsia="宋体" w:hAnsi="Calibri" w:cs="Calibri"/>
          <w:color w:val="000000"/>
          <w:kern w:val="0"/>
          <w:sz w:val="24"/>
        </w:rPr>
        <w:t>A cumulative Grade Point Average of 2.5 (on a 4-point scale) or above</w:t>
      </w:r>
    </w:p>
    <w:p w:rsidR="00D67D79" w:rsidRPr="00D67D79" w:rsidRDefault="00D67D79" w:rsidP="00D67D79">
      <w:pPr>
        <w:widowControl/>
        <w:shd w:val="clear" w:color="auto" w:fill="FFFFFF"/>
        <w:ind w:left="840" w:hanging="360"/>
        <w:rPr>
          <w:rFonts w:ascii="Calibri" w:eastAsia="宋体" w:hAnsi="Calibri" w:cs="Calibri"/>
          <w:color w:val="000000"/>
          <w:kern w:val="0"/>
          <w:sz w:val="28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4"/>
        </w:rPr>
        <w:t>-</w:t>
      </w:r>
      <w:r w:rsidRPr="00D67D79">
        <w:rPr>
          <w:rFonts w:ascii="Times New Roman" w:eastAsia="宋体" w:hAnsi="Times New Roman" w:cs="Times New Roman"/>
          <w:color w:val="000000"/>
          <w:kern w:val="0"/>
          <w:sz w:val="15"/>
          <w:szCs w:val="14"/>
        </w:rPr>
        <w:t>          </w:t>
      </w:r>
      <w:r w:rsidRPr="00D67D79">
        <w:rPr>
          <w:rFonts w:ascii="Calibri" w:eastAsia="宋体" w:hAnsi="Calibri" w:cs="Calibri"/>
          <w:color w:val="000000"/>
          <w:kern w:val="0"/>
          <w:sz w:val="24"/>
        </w:rPr>
        <w:t>For non-English native speaker, a TOEFL score of 213 (computer-based), 550 (paper-based) or 79 (internet-based), or an IELTS (Academic Module) score of 6.0 is required. We also accept a TOEIC score of 750 with </w:t>
      </w:r>
      <w:proofErr w:type="spellStart"/>
      <w:r w:rsidRPr="00D67D79">
        <w:rPr>
          <w:rFonts w:ascii="Calibri" w:eastAsia="宋体" w:hAnsi="Calibri" w:cs="Calibri"/>
          <w:color w:val="000000"/>
          <w:kern w:val="0"/>
          <w:sz w:val="24"/>
        </w:rPr>
        <w:t>asupporting</w:t>
      </w:r>
      <w:proofErr w:type="spellEnd"/>
      <w:r w:rsidRPr="00D67D79">
        <w:rPr>
          <w:rFonts w:ascii="Calibri" w:eastAsia="宋体" w:hAnsi="Calibri" w:cs="Calibri"/>
          <w:color w:val="000000"/>
          <w:kern w:val="0"/>
          <w:sz w:val="24"/>
        </w:rPr>
        <w:t xml:space="preserve"> letter</w:t>
      </w:r>
      <w:r w:rsidRPr="00D67D79">
        <w:rPr>
          <w:rFonts w:ascii="Calibri" w:eastAsia="宋体" w:hAnsi="Calibri" w:cs="Calibri"/>
          <w:color w:val="000000"/>
          <w:kern w:val="0"/>
          <w:sz w:val="24"/>
          <w:vertAlign w:val="superscript"/>
        </w:rPr>
        <w:t>#</w:t>
      </w:r>
      <w:r w:rsidRPr="00D67D79">
        <w:rPr>
          <w:rFonts w:ascii="Calibri" w:eastAsia="宋体" w:hAnsi="Calibri" w:cs="Calibri"/>
          <w:color w:val="000000"/>
          <w:kern w:val="0"/>
          <w:sz w:val="24"/>
        </w:rPr>
        <w:t xml:space="preserve"> from partner institution or a TOEFL ITP score of 550 with </w:t>
      </w:r>
      <w:proofErr w:type="gramStart"/>
      <w:r w:rsidRPr="00D67D79">
        <w:rPr>
          <w:rFonts w:ascii="Calibri" w:eastAsia="宋体" w:hAnsi="Calibri" w:cs="Calibri"/>
          <w:color w:val="000000"/>
          <w:kern w:val="0"/>
          <w:sz w:val="24"/>
        </w:rPr>
        <w:t>a supporting letter</w:t>
      </w:r>
      <w:r w:rsidRPr="00D67D79">
        <w:rPr>
          <w:rFonts w:ascii="Calibri" w:eastAsia="宋体" w:hAnsi="Calibri" w:cs="Calibri"/>
          <w:color w:val="000000"/>
          <w:kern w:val="0"/>
          <w:sz w:val="24"/>
          <w:vertAlign w:val="superscript"/>
        </w:rPr>
        <w:t>#</w:t>
      </w:r>
      <w:proofErr w:type="gramEnd"/>
      <w:r w:rsidRPr="00D67D79">
        <w:rPr>
          <w:rFonts w:ascii="Calibri" w:eastAsia="宋体" w:hAnsi="Calibri" w:cs="Calibri"/>
          <w:color w:val="000000"/>
          <w:kern w:val="0"/>
          <w:sz w:val="24"/>
        </w:rPr>
        <w:t> from </w:t>
      </w:r>
      <w:proofErr w:type="spellStart"/>
      <w:r w:rsidRPr="00D67D79">
        <w:rPr>
          <w:rFonts w:ascii="Calibri" w:eastAsia="宋体" w:hAnsi="Calibri" w:cs="Calibri"/>
          <w:color w:val="000000"/>
          <w:kern w:val="0"/>
          <w:sz w:val="24"/>
        </w:rPr>
        <w:t>partnerinstitution</w:t>
      </w:r>
      <w:proofErr w:type="spellEnd"/>
      <w:r w:rsidRPr="00D67D79">
        <w:rPr>
          <w:rFonts w:ascii="Calibri" w:eastAsia="宋体" w:hAnsi="Calibri" w:cs="Calibri"/>
          <w:color w:val="000000"/>
          <w:kern w:val="0"/>
          <w:sz w:val="24"/>
        </w:rPr>
        <w:t>.</w:t>
      </w:r>
    </w:p>
    <w:p w:rsidR="00D67D79" w:rsidRPr="00D67D79" w:rsidRDefault="00D67D79" w:rsidP="00D67D79">
      <w:pPr>
        <w:widowControl/>
        <w:shd w:val="clear" w:color="auto" w:fill="FFFFFF"/>
        <w:ind w:left="840" w:hanging="360"/>
        <w:rPr>
          <w:rFonts w:ascii="Calibri" w:eastAsia="宋体" w:hAnsi="Calibri" w:cs="Calibri"/>
          <w:color w:val="000000"/>
          <w:kern w:val="0"/>
          <w:sz w:val="28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4"/>
        </w:rPr>
        <w:lastRenderedPageBreak/>
        <w:t>-</w:t>
      </w:r>
      <w:r w:rsidRPr="00D67D79">
        <w:rPr>
          <w:rFonts w:ascii="Times New Roman" w:eastAsia="宋体" w:hAnsi="Times New Roman" w:cs="Times New Roman"/>
          <w:color w:val="000000"/>
          <w:kern w:val="0"/>
          <w:sz w:val="15"/>
          <w:szCs w:val="14"/>
        </w:rPr>
        <w:t>          </w:t>
      </w:r>
      <w:r w:rsidRPr="00D67D79">
        <w:rPr>
          <w:rFonts w:ascii="Calibri" w:eastAsia="宋体" w:hAnsi="Calibri" w:cs="Calibri"/>
          <w:color w:val="000000"/>
          <w:kern w:val="0"/>
          <w:sz w:val="24"/>
        </w:rPr>
        <w:t xml:space="preserve">A recommendation letter by home institution (in English, from faculty or the International Office) with comments on why the student is recommended for our exchange </w:t>
      </w:r>
      <w:proofErr w:type="spellStart"/>
      <w:r w:rsidRPr="00D67D79">
        <w:rPr>
          <w:rFonts w:ascii="Calibri" w:eastAsia="宋体" w:hAnsi="Calibri" w:cs="Calibri"/>
          <w:color w:val="000000"/>
          <w:kern w:val="0"/>
          <w:sz w:val="24"/>
        </w:rPr>
        <w:t>programme</w:t>
      </w:r>
      <w:proofErr w:type="spellEnd"/>
      <w:r w:rsidRPr="00D67D79">
        <w:rPr>
          <w:rFonts w:ascii="Calibri" w:eastAsia="宋体" w:hAnsi="Calibri" w:cs="Calibri"/>
          <w:color w:val="000000"/>
          <w:kern w:val="0"/>
          <w:sz w:val="24"/>
        </w:rPr>
        <w:t>. Individual recommendation letter is expected for each applicant.</w:t>
      </w:r>
    </w:p>
    <w:p w:rsidR="00D67D79" w:rsidRPr="00D67D79" w:rsidRDefault="00D67D79" w:rsidP="00D67D79">
      <w:pPr>
        <w:widowControl/>
        <w:shd w:val="clear" w:color="auto" w:fill="FFFFFF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D67D79">
        <w:rPr>
          <w:rFonts w:ascii="Calibri" w:eastAsia="宋体" w:hAnsi="Calibri" w:cs="Calibri"/>
          <w:color w:val="000000"/>
          <w:kern w:val="0"/>
          <w:sz w:val="24"/>
          <w:vertAlign w:val="superscript"/>
        </w:rPr>
        <w:t>#</w:t>
      </w:r>
      <w:r w:rsidRPr="00D67D79">
        <w:rPr>
          <w:rFonts w:ascii="Calibri" w:eastAsia="宋体" w:hAnsi="Calibri" w:cs="Calibri"/>
          <w:color w:val="000000"/>
          <w:kern w:val="0"/>
          <w:sz w:val="24"/>
        </w:rPr>
        <w:t xml:space="preserve">the supporting letter can be issued by your office/faculty members covering that the </w:t>
      </w:r>
      <w:r w:rsidRPr="00D67D79">
        <w:rPr>
          <w:rFonts w:ascii="Calibri" w:eastAsia="宋体" w:hAnsi="Calibri" w:cs="Calibri"/>
          <w:color w:val="000000"/>
          <w:kern w:val="0"/>
          <w:sz w:val="22"/>
        </w:rPr>
        <w:t>student is able to follow classes to be conducted in English</w:t>
      </w:r>
    </w:p>
    <w:p w:rsidR="00D67D79" w:rsidRDefault="00D67D79">
      <w:pPr>
        <w:rPr>
          <w:rFonts w:hint="eastAsia"/>
        </w:rPr>
      </w:pPr>
    </w:p>
    <w:p w:rsidR="002428A3" w:rsidRDefault="002428A3">
      <w:pPr>
        <w:rPr>
          <w:rFonts w:hint="eastAsia"/>
        </w:rPr>
      </w:pPr>
    </w:p>
    <w:p w:rsidR="002428A3" w:rsidRDefault="002428A3">
      <w:pPr>
        <w:rPr>
          <w:rFonts w:hint="eastAsia"/>
        </w:rPr>
      </w:pPr>
    </w:p>
    <w:p w:rsidR="002428A3" w:rsidRPr="002428A3" w:rsidRDefault="002428A3">
      <w:pPr>
        <w:rPr>
          <w:sz w:val="28"/>
          <w:szCs w:val="28"/>
        </w:rPr>
      </w:pPr>
      <w:bookmarkStart w:id="0" w:name="_GoBack"/>
      <w:r w:rsidRPr="002428A3">
        <w:rPr>
          <w:sz w:val="28"/>
          <w:szCs w:val="28"/>
        </w:rPr>
        <w:t>课程等信息可在岭南大学网站查询</w:t>
      </w:r>
      <w:hyperlink r:id="rId7" w:tgtFrame="_blank" w:history="1">
        <w:r w:rsidRPr="002428A3">
          <w:rPr>
            <w:rStyle w:val="a7"/>
            <w:rFonts w:ascii="Calibri" w:hAnsi="Calibri" w:cs="Calibri"/>
            <w:color w:val="954F72"/>
            <w:sz w:val="28"/>
            <w:szCs w:val="28"/>
            <w:shd w:val="clear" w:color="auto" w:fill="FFFFFF"/>
          </w:rPr>
          <w:t>https://www.ln.edu.hk/summer/</w:t>
        </w:r>
      </w:hyperlink>
      <w:bookmarkEnd w:id="0"/>
    </w:p>
    <w:sectPr w:rsidR="002428A3" w:rsidRPr="0024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2F" w:rsidRDefault="00CE582F" w:rsidP="00D67D79">
      <w:r>
        <w:separator/>
      </w:r>
    </w:p>
  </w:endnote>
  <w:endnote w:type="continuationSeparator" w:id="0">
    <w:p w:rsidR="00CE582F" w:rsidRDefault="00CE582F" w:rsidP="00D6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2F" w:rsidRDefault="00CE582F" w:rsidP="00D67D79">
      <w:r>
        <w:separator/>
      </w:r>
    </w:p>
  </w:footnote>
  <w:footnote w:type="continuationSeparator" w:id="0">
    <w:p w:rsidR="00CE582F" w:rsidRDefault="00CE582F" w:rsidP="00D6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D1"/>
    <w:rsid w:val="002428A3"/>
    <w:rsid w:val="003752D1"/>
    <w:rsid w:val="008E0169"/>
    <w:rsid w:val="00CE582F"/>
    <w:rsid w:val="00D67D79"/>
    <w:rsid w:val="00F4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D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67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67D79"/>
  </w:style>
  <w:style w:type="paragraph" w:styleId="a6">
    <w:name w:val="List Paragraph"/>
    <w:basedOn w:val="a"/>
    <w:uiPriority w:val="34"/>
    <w:qFormat/>
    <w:rsid w:val="00D67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42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D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67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67D79"/>
  </w:style>
  <w:style w:type="paragraph" w:styleId="a6">
    <w:name w:val="List Paragraph"/>
    <w:basedOn w:val="a"/>
    <w:uiPriority w:val="34"/>
    <w:qFormat/>
    <w:rsid w:val="00D67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4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n.edu.hk/summ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de'l'l</dc:creator>
  <cp:keywords/>
  <dc:description/>
  <cp:lastModifiedBy>de'l'l</cp:lastModifiedBy>
  <cp:revision>3</cp:revision>
  <dcterms:created xsi:type="dcterms:W3CDTF">2019-02-28T07:22:00Z</dcterms:created>
  <dcterms:modified xsi:type="dcterms:W3CDTF">2019-02-28T07:28:00Z</dcterms:modified>
</cp:coreProperties>
</file>