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41" w:rsidRDefault="00C20C46" w:rsidP="00C20C46">
      <w:pPr>
        <w:jc w:val="center"/>
        <w:rPr>
          <w:rStyle w:val="articletitle"/>
          <w:rFonts w:hint="eastAsia"/>
          <w:b/>
          <w:bCs/>
          <w:sz w:val="32"/>
          <w:szCs w:val="32"/>
        </w:rPr>
      </w:pPr>
      <w:bookmarkStart w:id="0" w:name="OLE_LINK13"/>
      <w:bookmarkStart w:id="1" w:name="OLE_LINK14"/>
      <w:r>
        <w:rPr>
          <w:rStyle w:val="articletitle"/>
          <w:rFonts w:hint="eastAsia"/>
          <w:b/>
          <w:bCs/>
          <w:sz w:val="32"/>
          <w:szCs w:val="32"/>
        </w:rPr>
        <w:t>关于</w:t>
      </w:r>
      <w:r>
        <w:rPr>
          <w:rStyle w:val="articletitle"/>
          <w:b/>
          <w:bCs/>
          <w:sz w:val="32"/>
          <w:szCs w:val="32"/>
        </w:rPr>
        <w:t>2017</w:t>
      </w:r>
      <w:r>
        <w:rPr>
          <w:rStyle w:val="articletitle"/>
          <w:rFonts w:hint="eastAsia"/>
          <w:b/>
          <w:bCs/>
          <w:sz w:val="32"/>
          <w:szCs w:val="32"/>
        </w:rPr>
        <w:t>年法国</w:t>
      </w:r>
      <w:bookmarkStart w:id="2" w:name="OLE_LINK7"/>
      <w:bookmarkStart w:id="3" w:name="OLE_LINK8"/>
      <w:r>
        <w:rPr>
          <w:rStyle w:val="articletitle"/>
          <w:b/>
          <w:bCs/>
          <w:sz w:val="32"/>
          <w:szCs w:val="32"/>
        </w:rPr>
        <w:t>巴黎高商</w:t>
      </w:r>
      <w:r w:rsidR="00170623">
        <w:rPr>
          <w:rStyle w:val="articletitle"/>
          <w:rFonts w:hint="eastAsia"/>
          <w:b/>
          <w:bCs/>
          <w:sz w:val="32"/>
          <w:szCs w:val="32"/>
        </w:rPr>
        <w:t>（</w:t>
      </w:r>
      <w:r w:rsidR="00170623">
        <w:rPr>
          <w:rStyle w:val="articletitle"/>
          <w:rFonts w:hint="eastAsia"/>
          <w:b/>
          <w:bCs/>
          <w:sz w:val="32"/>
          <w:szCs w:val="32"/>
        </w:rPr>
        <w:t>HEC</w:t>
      </w:r>
      <w:r w:rsidR="00170623">
        <w:rPr>
          <w:rStyle w:val="articletitle"/>
          <w:rFonts w:hint="eastAsia"/>
          <w:b/>
          <w:bCs/>
          <w:sz w:val="32"/>
          <w:szCs w:val="32"/>
        </w:rPr>
        <w:t>）</w:t>
      </w:r>
      <w:bookmarkEnd w:id="2"/>
      <w:bookmarkEnd w:id="3"/>
      <w:r>
        <w:rPr>
          <w:rStyle w:val="articletitle"/>
          <w:b/>
          <w:bCs/>
          <w:sz w:val="32"/>
          <w:szCs w:val="32"/>
        </w:rPr>
        <w:t>招生通知</w:t>
      </w:r>
    </w:p>
    <w:bookmarkEnd w:id="0"/>
    <w:bookmarkEnd w:id="1"/>
    <w:p w:rsidR="00C20C46" w:rsidRPr="00170623" w:rsidRDefault="00C20C46">
      <w:pPr>
        <w:rPr>
          <w:rStyle w:val="articletitle"/>
          <w:rFonts w:hint="eastAsia"/>
          <w:b/>
          <w:bCs/>
          <w:sz w:val="32"/>
          <w:szCs w:val="32"/>
        </w:rPr>
      </w:pPr>
    </w:p>
    <w:p w:rsidR="00C20C46" w:rsidRDefault="00C20C46" w:rsidP="00C20C46">
      <w:pPr>
        <w:pStyle w:val="a4"/>
        <w:ind w:firstLineChars="250" w:firstLine="525"/>
        <w:jc w:val="both"/>
        <w:rPr>
          <w:color w:val="4A4A4A"/>
          <w:sz w:val="21"/>
          <w:szCs w:val="21"/>
        </w:rPr>
      </w:pPr>
      <w:r>
        <w:rPr>
          <w:rFonts w:hint="eastAsia"/>
          <w:color w:val="4A4A4A"/>
          <w:sz w:val="21"/>
          <w:szCs w:val="21"/>
        </w:rPr>
        <w:t>法国</w:t>
      </w:r>
      <w:r>
        <w:rPr>
          <w:color w:val="4A4A4A"/>
          <w:sz w:val="21"/>
          <w:szCs w:val="21"/>
        </w:rPr>
        <w:t>巴黎高商（HEC）</w:t>
      </w:r>
      <w:r>
        <w:rPr>
          <w:rFonts w:hint="eastAsia"/>
          <w:color w:val="4A4A4A"/>
          <w:sz w:val="21"/>
          <w:szCs w:val="21"/>
        </w:rPr>
        <w:t>已</w:t>
      </w:r>
      <w:r>
        <w:rPr>
          <w:color w:val="4A4A4A"/>
          <w:sz w:val="21"/>
          <w:szCs w:val="21"/>
        </w:rPr>
        <w:t>不再</w:t>
      </w:r>
      <w:r>
        <w:rPr>
          <w:rFonts w:hint="eastAsia"/>
          <w:color w:val="4A4A4A"/>
          <w:sz w:val="21"/>
          <w:szCs w:val="21"/>
        </w:rPr>
        <w:t>是</w:t>
      </w:r>
      <w:r>
        <w:rPr>
          <w:color w:val="4A4A4A"/>
          <w:sz w:val="21"/>
          <w:szCs w:val="21"/>
        </w:rPr>
        <w:t>巴黎高科集团9+9中法工程师项目</w:t>
      </w:r>
      <w:r>
        <w:rPr>
          <w:rFonts w:hint="eastAsia"/>
          <w:color w:val="4A4A4A"/>
          <w:sz w:val="21"/>
          <w:szCs w:val="21"/>
        </w:rPr>
        <w:t>的成员院校，为此，该校</w:t>
      </w:r>
      <w:r>
        <w:rPr>
          <w:color w:val="4A4A4A"/>
          <w:sz w:val="21"/>
          <w:szCs w:val="21"/>
        </w:rPr>
        <w:t>在中国单独招生，请有兴趣的同学参阅如下信息自行申请。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 xml:space="preserve">- </w:t>
      </w:r>
      <w:r>
        <w:rPr>
          <w:rStyle w:val="a6"/>
          <w:color w:val="4A4A4A"/>
        </w:rPr>
        <w:t>Master in Management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 xml:space="preserve">The Grande </w:t>
      </w:r>
      <w:proofErr w:type="spellStart"/>
      <w:r>
        <w:rPr>
          <w:color w:val="4A4A4A"/>
        </w:rPr>
        <w:t>Ecole</w:t>
      </w:r>
      <w:proofErr w:type="spellEnd"/>
      <w:r>
        <w:rPr>
          <w:color w:val="4A4A4A"/>
        </w:rPr>
        <w:t xml:space="preserve"> curriculum is divided into a generalist phase (M1) and a specialization phase (M2). The first phase concentrates on business fundamentals while the second one focuses on acquiring expertise around the professional goals of the student (Finance, Marketing, Accounting, Strategy, etc.).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This unique curriculum structure enables students to acquire both an excellent grounding in general management and an expertise in a specific field. We firmly believe this combination is the key success factor in training future leaders and making a lasting impact on the careers of our students. In fact, our graduates combine the rare ability to grasp the ‘global picture’ in all situations and a deep understanding that only experts can truly reach.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</w:t>
      </w:r>
      <w:r>
        <w:rPr>
          <w:rStyle w:val="a6"/>
          <w:color w:val="4A4A4A"/>
        </w:rPr>
        <w:t>Application process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The HEC Paris online application system will open from September 1</w:t>
      </w:r>
      <w:r>
        <w:rPr>
          <w:color w:val="4A4A4A"/>
          <w:sz w:val="18"/>
          <w:szCs w:val="18"/>
          <w:vertAlign w:val="superscript"/>
        </w:rPr>
        <w:t>st</w:t>
      </w:r>
      <w:r>
        <w:rPr>
          <w:color w:val="4A4A4A"/>
        </w:rPr>
        <w:t xml:space="preserve">. A complete application must be submitted by </w:t>
      </w:r>
      <w:r>
        <w:rPr>
          <w:rStyle w:val="a6"/>
          <w:color w:val="4A4A4A"/>
          <w:u w:val="single"/>
        </w:rPr>
        <w:t>September 30</w:t>
      </w:r>
      <w:r>
        <w:rPr>
          <w:rStyle w:val="a6"/>
          <w:color w:val="4A4A4A"/>
          <w:sz w:val="18"/>
          <w:szCs w:val="18"/>
          <w:u w:val="single"/>
          <w:vertAlign w:val="superscript"/>
        </w:rPr>
        <w:t>th</w:t>
      </w:r>
      <w:r>
        <w:rPr>
          <w:color w:val="4A4A4A"/>
        </w:rPr>
        <w:t xml:space="preserve"> at the latest. 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The following documents are required: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-Degree certificate(s) or current certificate of enrolment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-Résumé (CV)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-All official up-to-date academic transcripts (exchange programs included) and official GPA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-GMAT or GRE or TAGE MAGE official test score report (only one test is authorized)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-English language proficiency test score report (TOEFL or TOEIC or IELTS or Cambridge)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 xml:space="preserve">-2 letters of recommendation 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lastRenderedPageBreak/>
        <w:t xml:space="preserve">Pre-selected applicants will be invited to a 25-30 minute </w:t>
      </w:r>
      <w:proofErr w:type="spellStart"/>
      <w:r>
        <w:rPr>
          <w:color w:val="4A4A4A"/>
        </w:rPr>
        <w:t>skype</w:t>
      </w:r>
      <w:proofErr w:type="spellEnd"/>
      <w:r>
        <w:rPr>
          <w:color w:val="4A4A4A"/>
        </w:rPr>
        <w:t xml:space="preserve"> interview. They are encouraged to discuss their unique background, motivation, interests, and goals during this interview.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rStyle w:val="a6"/>
          <w:color w:val="4A4A4A"/>
        </w:rPr>
        <w:t>Admission Calendar</w:t>
      </w:r>
      <w:r>
        <w:rPr>
          <w:color w:val="4A4A4A"/>
        </w:rPr>
        <w:t>: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-Application deadline: September 30</w:t>
      </w:r>
      <w:r>
        <w:rPr>
          <w:color w:val="4A4A4A"/>
          <w:sz w:val="18"/>
          <w:szCs w:val="18"/>
          <w:vertAlign w:val="superscript"/>
        </w:rPr>
        <w:t>th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-Admissibility results: October 13</w:t>
      </w:r>
      <w:r>
        <w:rPr>
          <w:color w:val="4A4A4A"/>
          <w:sz w:val="18"/>
          <w:szCs w:val="18"/>
          <w:vertAlign w:val="superscript"/>
        </w:rPr>
        <w:t>th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-Interviews: second half of October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-Admission results: end of October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>-Enrollment confirmation deadline: Mid-November</w:t>
      </w:r>
    </w:p>
    <w:p w:rsidR="00C20C46" w:rsidRDefault="00C20C46" w:rsidP="00C20C46">
      <w:pPr>
        <w:pStyle w:val="a4"/>
        <w:jc w:val="both"/>
        <w:rPr>
          <w:color w:val="4A4A4A"/>
          <w:sz w:val="21"/>
          <w:szCs w:val="21"/>
        </w:rPr>
      </w:pPr>
      <w:r>
        <w:rPr>
          <w:color w:val="4A4A4A"/>
        </w:rPr>
        <w:t xml:space="preserve">For any further information about their application, they can email Nathalie NIESIEWICZ, HEC Development Manager, at </w:t>
      </w:r>
      <w:hyperlink r:id="rId4" w:history="1">
        <w:r>
          <w:rPr>
            <w:rStyle w:val="a3"/>
            <w:color w:val="0000FF"/>
          </w:rPr>
          <w:t>hecprograms@hec.fr</w:t>
        </w:r>
      </w:hyperlink>
      <w:r>
        <w:rPr>
          <w:color w:val="4A4A4A"/>
        </w:rPr>
        <w:t>.</w:t>
      </w:r>
    </w:p>
    <w:p w:rsidR="00C20C46" w:rsidRDefault="00C20C46">
      <w:pPr>
        <w:rPr>
          <w:rFonts w:hint="eastAsia"/>
        </w:rPr>
      </w:pPr>
    </w:p>
    <w:p w:rsidR="00170623" w:rsidRPr="00C20C46" w:rsidRDefault="00170623">
      <w:bookmarkStart w:id="4" w:name="OLE_LINK9"/>
      <w:bookmarkStart w:id="5" w:name="OLE_LINK10"/>
      <w:r>
        <w:rPr>
          <w:rFonts w:hint="eastAsia"/>
        </w:rPr>
        <w:t>附件：</w:t>
      </w:r>
      <w:bookmarkEnd w:id="4"/>
      <w:bookmarkEnd w:id="5"/>
      <w:proofErr w:type="spellStart"/>
      <w:r w:rsidRPr="00170623">
        <w:t>Flyer_China</w:t>
      </w:r>
      <w:proofErr w:type="spellEnd"/>
      <w:r w:rsidRPr="00170623">
        <w:t xml:space="preserve"> Pre-selected Universities Session</w:t>
      </w:r>
    </w:p>
    <w:sectPr w:rsidR="00170623" w:rsidRPr="00C20C46" w:rsidSect="00F5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C46"/>
    <w:rsid w:val="00170623"/>
    <w:rsid w:val="009D4D0D"/>
    <w:rsid w:val="00C20C46"/>
    <w:rsid w:val="00F5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C20C46"/>
  </w:style>
  <w:style w:type="character" w:styleId="a3">
    <w:name w:val="Hyperlink"/>
    <w:basedOn w:val="a0"/>
    <w:uiPriority w:val="99"/>
    <w:semiHidden/>
    <w:unhideWhenUsed/>
    <w:rsid w:val="00C20C4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20C46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C20C46"/>
    <w:rPr>
      <w:i/>
      <w:iCs/>
    </w:rPr>
  </w:style>
  <w:style w:type="character" w:styleId="a6">
    <w:name w:val="Strong"/>
    <w:basedOn w:val="a0"/>
    <w:uiPriority w:val="22"/>
    <w:qFormat/>
    <w:rsid w:val="00C20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cprograms@hec.f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2016-09-10T06:05:00Z</dcterms:created>
  <dcterms:modified xsi:type="dcterms:W3CDTF">2016-09-10T06:33:00Z</dcterms:modified>
</cp:coreProperties>
</file>