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00" w:type="dxa"/>
        <w:jc w:val="center"/>
        <w:shd w:val="clear" w:color="auto" w:fill="FAFAFA"/>
        <w:tblCellMar>
          <w:top w:w="120" w:type="dxa"/>
          <w:left w:w="150" w:type="dxa"/>
          <w:bottom w:w="120" w:type="dxa"/>
          <w:right w:w="150" w:type="dxa"/>
        </w:tblCellMar>
        <w:tblLook w:val="04A0" w:firstRow="1" w:lastRow="0" w:firstColumn="1" w:lastColumn="0" w:noHBand="0" w:noVBand="1"/>
      </w:tblPr>
      <w:tblGrid>
        <w:gridCol w:w="7200"/>
      </w:tblGrid>
      <w:tr w:rsidR="00E833B9" w:rsidRPr="00E833B9">
        <w:trPr>
          <w:jc w:val="center"/>
        </w:trPr>
        <w:tc>
          <w:tcPr>
            <w:tcW w:w="0" w:type="auto"/>
            <w:shd w:val="clear" w:color="auto" w:fill="FAFAFA"/>
            <w:tcMar>
              <w:top w:w="120" w:type="dxa"/>
              <w:left w:w="120" w:type="dxa"/>
              <w:bottom w:w="120" w:type="dxa"/>
              <w:right w:w="120" w:type="dxa"/>
            </w:tcMar>
            <w:hideMark/>
          </w:tcPr>
          <w:p w:rsidR="00E833B9" w:rsidRPr="00537BDE" w:rsidRDefault="00E833B9" w:rsidP="006D38EA">
            <w:pPr>
              <w:jc w:val="center"/>
              <w:rPr>
                <w:sz w:val="32"/>
                <w:szCs w:val="32"/>
              </w:rPr>
            </w:pPr>
            <w:r w:rsidRPr="00537BDE">
              <w:rPr>
                <w:rFonts w:ascii="Arial" w:eastAsia="宋体" w:hAnsi="Arial" w:cs="Arial"/>
                <w:b/>
                <w:bCs/>
                <w:iCs/>
                <w:color w:val="000080"/>
                <w:kern w:val="0"/>
                <w:sz w:val="32"/>
                <w:szCs w:val="32"/>
              </w:rPr>
              <w:t>APRU Undergraduate Leaders Program</w:t>
            </w:r>
            <w:bookmarkStart w:id="0" w:name="_GoBack"/>
            <w:bookmarkEnd w:id="0"/>
            <w:r w:rsidRPr="00537BDE">
              <w:rPr>
                <w:rFonts w:ascii="Arial" w:eastAsia="宋体" w:hAnsi="Arial" w:cs="Arial"/>
                <w:b/>
                <w:bCs/>
                <w:iCs/>
                <w:color w:val="000080"/>
                <w:kern w:val="0"/>
                <w:sz w:val="32"/>
                <w:szCs w:val="32"/>
              </w:rPr>
              <w:t xml:space="preserve"> (ULP) 2016</w:t>
            </w:r>
            <w:r w:rsidRPr="00537BDE">
              <w:rPr>
                <w:rFonts w:ascii="Arial" w:eastAsia="宋体" w:hAnsi="Arial" w:cs="Arial"/>
                <w:iCs/>
                <w:color w:val="505050"/>
                <w:kern w:val="0"/>
                <w:sz w:val="32"/>
                <w:szCs w:val="32"/>
              </w:rPr>
              <w:br/>
            </w:r>
          </w:p>
          <w:tbl>
            <w:tblPr>
              <w:tblW w:w="5000" w:type="pct"/>
              <w:tblCellMar>
                <w:top w:w="120" w:type="dxa"/>
                <w:left w:w="120" w:type="dxa"/>
                <w:bottom w:w="120" w:type="dxa"/>
                <w:right w:w="120" w:type="dxa"/>
              </w:tblCellMar>
              <w:tblLook w:val="04A0" w:firstRow="1" w:lastRow="0" w:firstColumn="1" w:lastColumn="0" w:noHBand="0" w:noVBand="1"/>
            </w:tblPr>
            <w:tblGrid>
              <w:gridCol w:w="4680"/>
              <w:gridCol w:w="2280"/>
            </w:tblGrid>
            <w:tr w:rsidR="00E833B9" w:rsidRPr="00E833B9">
              <w:tc>
                <w:tcPr>
                  <w:tcW w:w="0" w:type="auto"/>
                  <w:hideMark/>
                </w:tcPr>
                <w:p w:rsidR="00E833B9" w:rsidRPr="00E833B9" w:rsidRDefault="00E833B9" w:rsidP="006D38EA">
                  <w:pPr>
                    <w:widowControl/>
                    <w:jc w:val="center"/>
                    <w:rPr>
                      <w:rFonts w:ascii="Arial" w:eastAsia="宋体" w:hAnsi="Arial" w:cs="Arial"/>
                      <w:color w:val="505050"/>
                      <w:kern w:val="0"/>
                      <w:sz w:val="15"/>
                      <w:szCs w:val="15"/>
                    </w:rPr>
                  </w:pPr>
                  <w:r w:rsidRPr="00E833B9">
                    <w:rPr>
                      <w:rFonts w:ascii="Arial" w:eastAsia="宋体" w:hAnsi="Arial" w:cs="Arial"/>
                      <w:i/>
                      <w:iCs/>
                      <w:color w:val="505050"/>
                      <w:kern w:val="0"/>
                      <w:sz w:val="14"/>
                      <w:szCs w:val="14"/>
                    </w:rPr>
                    <w:br/>
                  </w:r>
                  <w:r>
                    <w:rPr>
                      <w:rFonts w:ascii="Arial" w:eastAsia="宋体" w:hAnsi="Arial" w:cs="Arial" w:hint="eastAsia"/>
                      <w:i/>
                      <w:iCs/>
                      <w:color w:val="505050"/>
                      <w:kern w:val="0"/>
                      <w:sz w:val="14"/>
                      <w:szCs w:val="14"/>
                    </w:rPr>
                    <w:t xml:space="preserve">Program time: </w:t>
                  </w:r>
                  <w:r w:rsidRPr="00E833B9">
                    <w:rPr>
                      <w:rFonts w:ascii="Arial" w:eastAsia="宋体" w:hAnsi="Arial" w:cs="Arial"/>
                      <w:i/>
                      <w:iCs/>
                      <w:color w:val="505050"/>
                      <w:kern w:val="0"/>
                      <w:sz w:val="14"/>
                      <w:szCs w:val="14"/>
                    </w:rPr>
                    <w:t>3-13 July 2016</w:t>
                  </w:r>
                  <w:r w:rsidRPr="00E833B9">
                    <w:rPr>
                      <w:rFonts w:ascii="Arial" w:eastAsia="宋体" w:hAnsi="Arial" w:cs="Arial"/>
                      <w:i/>
                      <w:iCs/>
                      <w:color w:val="505050"/>
                      <w:kern w:val="0"/>
                      <w:sz w:val="14"/>
                      <w:szCs w:val="14"/>
                    </w:rPr>
                    <w:br/>
                  </w:r>
                  <w:proofErr w:type="spellStart"/>
                  <w:r w:rsidRPr="00E833B9">
                    <w:rPr>
                      <w:rFonts w:ascii="Arial" w:eastAsia="宋体" w:hAnsi="Arial" w:cs="Arial"/>
                      <w:i/>
                      <w:iCs/>
                      <w:color w:val="505050"/>
                      <w:kern w:val="0"/>
                      <w:sz w:val="14"/>
                      <w:szCs w:val="14"/>
                    </w:rPr>
                    <w:t>Tecnológico</w:t>
                  </w:r>
                  <w:proofErr w:type="spellEnd"/>
                  <w:r w:rsidRPr="00E833B9">
                    <w:rPr>
                      <w:rFonts w:ascii="Arial" w:eastAsia="宋体" w:hAnsi="Arial" w:cs="Arial"/>
                      <w:i/>
                      <w:iCs/>
                      <w:color w:val="505050"/>
                      <w:kern w:val="0"/>
                      <w:sz w:val="14"/>
                      <w:szCs w:val="14"/>
                    </w:rPr>
                    <w:t xml:space="preserve"> de Monterrey, México</w:t>
                  </w:r>
                  <w:r w:rsidRPr="00E833B9">
                    <w:rPr>
                      <w:rFonts w:ascii="Arial" w:eastAsia="宋体" w:hAnsi="Arial" w:cs="Arial"/>
                      <w:i/>
                      <w:iCs/>
                      <w:color w:val="505050"/>
                      <w:kern w:val="0"/>
                      <w:sz w:val="14"/>
                      <w:szCs w:val="14"/>
                    </w:rPr>
                    <w:br/>
                  </w:r>
                  <w:r w:rsidRPr="00E833B9">
                    <w:rPr>
                      <w:rFonts w:ascii="Arial" w:eastAsia="宋体" w:hAnsi="Arial" w:cs="Arial"/>
                      <w:i/>
                      <w:iCs/>
                      <w:color w:val="505050"/>
                      <w:kern w:val="0"/>
                      <w:sz w:val="14"/>
                      <w:szCs w:val="14"/>
                    </w:rPr>
                    <w:br/>
                  </w:r>
                  <w:r w:rsidRPr="00537BDE">
                    <w:rPr>
                      <w:rFonts w:ascii="Arial" w:eastAsia="宋体" w:hAnsi="Arial" w:cs="Arial"/>
                      <w:b/>
                      <w:bCs/>
                      <w:i/>
                      <w:iCs/>
                      <w:kern w:val="0"/>
                      <w:szCs w:val="21"/>
                    </w:rPr>
                    <w:t>Registration is ongoing till 30 April!</w:t>
                  </w:r>
                  <w:r w:rsidRPr="00E833B9">
                    <w:rPr>
                      <w:rFonts w:ascii="Arial" w:eastAsia="宋体" w:hAnsi="Arial" w:cs="Arial"/>
                      <w:color w:val="505050"/>
                      <w:kern w:val="0"/>
                      <w:sz w:val="15"/>
                      <w:szCs w:val="15"/>
                    </w:rPr>
                    <w:br/>
                  </w:r>
                </w:p>
              </w:tc>
              <w:tc>
                <w:tcPr>
                  <w:tcW w:w="2280" w:type="dxa"/>
                  <w:hideMark/>
                </w:tcPr>
                <w:p w:rsidR="00E833B9" w:rsidRPr="00E833B9" w:rsidRDefault="00E833B9" w:rsidP="006D38EA">
                  <w:pPr>
                    <w:widowControl/>
                    <w:jc w:val="center"/>
                    <w:rPr>
                      <w:rFonts w:ascii="Arial" w:eastAsia="宋体" w:hAnsi="Arial" w:cs="Arial"/>
                      <w:color w:val="505050"/>
                      <w:kern w:val="0"/>
                      <w:sz w:val="15"/>
                      <w:szCs w:val="15"/>
                    </w:rPr>
                  </w:pPr>
                </w:p>
              </w:tc>
            </w:tr>
          </w:tbl>
          <w:p w:rsidR="00E833B9" w:rsidRPr="00E833B9" w:rsidRDefault="00E833B9" w:rsidP="00E833B9">
            <w:pPr>
              <w:widowControl/>
              <w:jc w:val="left"/>
              <w:rPr>
                <w:rFonts w:ascii="宋体" w:eastAsia="宋体" w:hAnsi="宋体" w:cs="宋体"/>
                <w:color w:val="000000"/>
                <w:kern w:val="0"/>
                <w:szCs w:val="21"/>
              </w:rPr>
            </w:pPr>
          </w:p>
        </w:tc>
      </w:tr>
    </w:tbl>
    <w:p w:rsidR="00E833B9" w:rsidRPr="00E833B9" w:rsidRDefault="00E833B9" w:rsidP="00E833B9">
      <w:pPr>
        <w:widowControl/>
        <w:jc w:val="center"/>
        <w:rPr>
          <w:rFonts w:ascii="宋体" w:eastAsia="宋体" w:hAnsi="宋体" w:cs="宋体"/>
          <w:vanish/>
          <w:color w:val="000000"/>
          <w:kern w:val="0"/>
          <w:szCs w:val="21"/>
        </w:rPr>
      </w:pPr>
    </w:p>
    <w:tbl>
      <w:tblPr>
        <w:tblW w:w="7200"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20" w:type="dxa"/>
          <w:left w:w="150" w:type="dxa"/>
          <w:bottom w:w="120" w:type="dxa"/>
          <w:right w:w="150" w:type="dxa"/>
        </w:tblCellMar>
        <w:tblLook w:val="04A0" w:firstRow="1" w:lastRow="0" w:firstColumn="1" w:lastColumn="0" w:noHBand="0" w:noVBand="1"/>
      </w:tblPr>
      <w:tblGrid>
        <w:gridCol w:w="8205"/>
      </w:tblGrid>
      <w:tr w:rsidR="00E833B9" w:rsidRPr="00E833B9">
        <w:trPr>
          <w:jc w:val="center"/>
        </w:trPr>
        <w:tc>
          <w:tcPr>
            <w:tcW w:w="0" w:type="auto"/>
            <w:shd w:val="clear" w:color="auto" w:fill="FFFFFF"/>
            <w:tcMar>
              <w:top w:w="0" w:type="dxa"/>
              <w:left w:w="0" w:type="dxa"/>
              <w:bottom w:w="0" w:type="dxa"/>
              <w:right w:w="0" w:type="dxa"/>
            </w:tcMar>
            <w:hideMark/>
          </w:tcPr>
          <w:tbl>
            <w:tblPr>
              <w:tblW w:w="7200" w:type="dxa"/>
              <w:jc w:val="center"/>
              <w:shd w:val="clear" w:color="auto" w:fill="FFFFFF"/>
              <w:tblCellMar>
                <w:left w:w="0" w:type="dxa"/>
                <w:right w:w="0" w:type="dxa"/>
              </w:tblCellMar>
              <w:tblLook w:val="04A0" w:firstRow="1" w:lastRow="0" w:firstColumn="1" w:lastColumn="0" w:noHBand="0" w:noVBand="1"/>
            </w:tblPr>
            <w:tblGrid>
              <w:gridCol w:w="8190"/>
            </w:tblGrid>
            <w:tr w:rsidR="00E833B9" w:rsidRPr="00E833B9">
              <w:trPr>
                <w:jc w:val="center"/>
              </w:trPr>
              <w:tc>
                <w:tcPr>
                  <w:tcW w:w="0" w:type="auto"/>
                  <w:shd w:val="clear" w:color="auto" w:fill="FFFFFF"/>
                  <w:tcMar>
                    <w:top w:w="15" w:type="dxa"/>
                    <w:left w:w="15" w:type="dxa"/>
                    <w:bottom w:w="15" w:type="dxa"/>
                    <w:right w:w="15" w:type="dxa"/>
                  </w:tcMar>
                  <w:vAlign w:val="center"/>
                  <w:hideMark/>
                </w:tcPr>
                <w:p w:rsidR="00E833B9" w:rsidRPr="00E833B9" w:rsidRDefault="00E833B9" w:rsidP="00E833B9">
                  <w:pPr>
                    <w:widowControl/>
                    <w:jc w:val="center"/>
                    <w:rPr>
                      <w:rFonts w:ascii="Trebuchet MS" w:eastAsia="宋体" w:hAnsi="Trebuchet MS" w:cs="宋体"/>
                      <w:b/>
                      <w:bCs/>
                      <w:color w:val="202020"/>
                      <w:kern w:val="0"/>
                      <w:sz w:val="20"/>
                      <w:szCs w:val="20"/>
                    </w:rPr>
                  </w:pPr>
                  <w:r w:rsidRPr="00E833B9">
                    <w:rPr>
                      <w:rFonts w:ascii="Trebuchet MS" w:eastAsia="宋体" w:hAnsi="Trebuchet MS" w:cs="宋体"/>
                      <w:b/>
                      <w:bCs/>
                      <w:color w:val="202020"/>
                      <w:kern w:val="0"/>
                      <w:sz w:val="20"/>
                      <w:szCs w:val="20"/>
                    </w:rPr>
                    <w:br/>
                  </w:r>
                  <w:r>
                    <w:rPr>
                      <w:rFonts w:ascii="Trebuchet MS" w:eastAsia="宋体" w:hAnsi="Trebuchet MS" w:cs="宋体"/>
                      <w:b/>
                      <w:bCs/>
                      <w:noProof/>
                      <w:color w:val="202020"/>
                      <w:kern w:val="0"/>
                      <w:sz w:val="20"/>
                      <w:szCs w:val="20"/>
                    </w:rPr>
                    <w:drawing>
                      <wp:inline distT="0" distB="0" distL="0" distR="0">
                        <wp:extent cx="5172710" cy="1734820"/>
                        <wp:effectExtent l="0" t="0" r="8890" b="0"/>
                        <wp:docPr id="4" name="图片 4" descr="https://mail.zju.edu.cn/coremail/s?func=user:proxyGet&amp;sid=DASdzvTTDUXXAWQfdZTTsdIWWgUpOVyZ&amp;mid=2:1tbiAg5tJVZdsxYKAwANsu&amp;url=https%3A%2F%2Fgallery.mailchimp.com%2F7251ff0af2ea5314dd7f5b33b%2Fimages%2F8cafac9f-0d6d-4247-b709-121ec4daae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ail.zju.edu.cn/coremail/s?func=user:proxyGet&amp;sid=DASdzvTTDUXXAWQfdZTTsdIWWgUpOVyZ&amp;mid=2:1tbiAg5tJVZdsxYKAwANsu&amp;url=https%3A%2F%2Fgallery.mailchimp.com%2F7251ff0af2ea5314dd7f5b33b%2Fimages%2F8cafac9f-0d6d-4247-b709-121ec4daae8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710" cy="1734820"/>
                                </a:xfrm>
                                <a:prstGeom prst="rect">
                                  <a:avLst/>
                                </a:prstGeom>
                                <a:noFill/>
                                <a:ln>
                                  <a:noFill/>
                                </a:ln>
                              </pic:spPr>
                            </pic:pic>
                          </a:graphicData>
                        </a:graphic>
                      </wp:inline>
                    </w:drawing>
                  </w:r>
                </w:p>
              </w:tc>
            </w:tr>
          </w:tbl>
          <w:p w:rsidR="00E833B9" w:rsidRPr="00E833B9" w:rsidRDefault="00E833B9" w:rsidP="00E833B9">
            <w:pPr>
              <w:widowControl/>
              <w:jc w:val="center"/>
              <w:rPr>
                <w:rFonts w:ascii="宋体" w:eastAsia="宋体" w:hAnsi="宋体" w:cs="宋体"/>
                <w:color w:val="000000"/>
                <w:kern w:val="0"/>
                <w:szCs w:val="21"/>
              </w:rPr>
            </w:pPr>
          </w:p>
        </w:tc>
      </w:tr>
      <w:tr w:rsidR="00E833B9" w:rsidRPr="00E833B9">
        <w:trPr>
          <w:jc w:val="center"/>
        </w:trPr>
        <w:tc>
          <w:tcPr>
            <w:tcW w:w="0" w:type="auto"/>
            <w:shd w:val="clear" w:color="auto" w:fill="FFFFFF"/>
            <w:hideMark/>
          </w:tcPr>
          <w:tbl>
            <w:tblPr>
              <w:tblW w:w="7200" w:type="dxa"/>
              <w:jc w:val="center"/>
              <w:tblCellMar>
                <w:top w:w="120" w:type="dxa"/>
                <w:left w:w="150" w:type="dxa"/>
                <w:bottom w:w="120" w:type="dxa"/>
                <w:right w:w="150" w:type="dxa"/>
              </w:tblCellMar>
              <w:tblLook w:val="04A0" w:firstRow="1" w:lastRow="0" w:firstColumn="1" w:lastColumn="0" w:noHBand="0" w:noVBand="1"/>
            </w:tblPr>
            <w:tblGrid>
              <w:gridCol w:w="7200"/>
            </w:tblGrid>
            <w:tr w:rsidR="00E833B9" w:rsidRPr="00E833B9">
              <w:trPr>
                <w:jc w:val="center"/>
              </w:trPr>
              <w:tc>
                <w:tcPr>
                  <w:tcW w:w="0" w:type="auto"/>
                  <w:shd w:val="clear" w:color="auto" w:fill="FFFFFF"/>
                  <w:tcMar>
                    <w:top w:w="0" w:type="dxa"/>
                    <w:left w:w="0" w:type="dxa"/>
                    <w:bottom w:w="0" w:type="dxa"/>
                    <w:right w:w="0" w:type="dxa"/>
                  </w:tcMar>
                  <w:hideMark/>
                </w:tcPr>
                <w:tbl>
                  <w:tblPr>
                    <w:tblW w:w="5000" w:type="pct"/>
                    <w:tblCellMar>
                      <w:top w:w="120" w:type="dxa"/>
                      <w:left w:w="150" w:type="dxa"/>
                      <w:bottom w:w="120" w:type="dxa"/>
                      <w:right w:w="150" w:type="dxa"/>
                    </w:tblCellMar>
                    <w:tblLook w:val="04A0" w:firstRow="1" w:lastRow="0" w:firstColumn="1" w:lastColumn="0" w:noHBand="0" w:noVBand="1"/>
                  </w:tblPr>
                  <w:tblGrid>
                    <w:gridCol w:w="7200"/>
                  </w:tblGrid>
                  <w:tr w:rsidR="00E833B9" w:rsidRPr="00E833B9">
                    <w:tc>
                      <w:tcPr>
                        <w:tcW w:w="0" w:type="auto"/>
                        <w:tcMar>
                          <w:top w:w="0" w:type="dxa"/>
                          <w:left w:w="0" w:type="dxa"/>
                          <w:bottom w:w="0" w:type="dxa"/>
                          <w:right w:w="0" w:type="dxa"/>
                        </w:tcMar>
                        <w:hideMark/>
                      </w:tcPr>
                      <w:tbl>
                        <w:tblPr>
                          <w:tblW w:w="5000" w:type="pct"/>
                          <w:tblCellMar>
                            <w:top w:w="240" w:type="dxa"/>
                            <w:left w:w="240" w:type="dxa"/>
                            <w:bottom w:w="240" w:type="dxa"/>
                            <w:right w:w="240" w:type="dxa"/>
                          </w:tblCellMar>
                          <w:tblLook w:val="04A0" w:firstRow="1" w:lastRow="0" w:firstColumn="1" w:lastColumn="0" w:noHBand="0" w:noVBand="1"/>
                        </w:tblPr>
                        <w:tblGrid>
                          <w:gridCol w:w="7200"/>
                        </w:tblGrid>
                        <w:tr w:rsidR="00E833B9" w:rsidRPr="00E833B9">
                          <w:tc>
                            <w:tcPr>
                              <w:tcW w:w="0" w:type="auto"/>
                              <w:hideMark/>
                            </w:tcPr>
                            <w:p w:rsidR="00E833B9" w:rsidRPr="00E833B9" w:rsidRDefault="00E833B9" w:rsidP="00E833B9">
                              <w:pPr>
                                <w:widowControl/>
                                <w:jc w:val="left"/>
                                <w:rPr>
                                  <w:rFonts w:ascii="Arial" w:eastAsia="宋体" w:hAnsi="Arial" w:cs="Arial"/>
                                  <w:color w:val="505050"/>
                                  <w:kern w:val="0"/>
                                  <w:szCs w:val="21"/>
                                </w:rPr>
                              </w:pPr>
                              <w:r w:rsidRPr="00E833B9">
                                <w:rPr>
                                  <w:rFonts w:ascii="Arial" w:eastAsia="宋体" w:hAnsi="Arial" w:cs="Arial"/>
                                  <w:color w:val="505050"/>
                                  <w:kern w:val="0"/>
                                  <w:sz w:val="17"/>
                                  <w:szCs w:val="17"/>
                                </w:rPr>
                                <w:br/>
                              </w:r>
                              <w:r w:rsidR="006D38EA">
                                <w:rPr>
                                  <w:rFonts w:ascii="Arial" w:eastAsia="宋体" w:hAnsi="Arial" w:cs="Arial" w:hint="eastAsia"/>
                                  <w:color w:val="505050"/>
                                  <w:kern w:val="0"/>
                                  <w:sz w:val="17"/>
                                  <w:szCs w:val="17"/>
                                </w:rPr>
                                <w:t>T</w:t>
                              </w:r>
                              <w:r w:rsidRPr="00E833B9">
                                <w:rPr>
                                  <w:rFonts w:ascii="Arial" w:eastAsia="宋体" w:hAnsi="Arial" w:cs="Arial"/>
                                  <w:color w:val="505050"/>
                                  <w:kern w:val="0"/>
                                  <w:sz w:val="17"/>
                                  <w:szCs w:val="17"/>
                                </w:rPr>
                                <w:t xml:space="preserve">he </w:t>
                              </w:r>
                              <w:r w:rsidRPr="00E833B9">
                                <w:rPr>
                                  <w:rFonts w:ascii="Arial" w:eastAsia="宋体" w:hAnsi="Arial" w:cs="Arial"/>
                                  <w:b/>
                                  <w:bCs/>
                                  <w:color w:val="505050"/>
                                  <w:kern w:val="0"/>
                                  <w:sz w:val="17"/>
                                  <w:szCs w:val="17"/>
                                </w:rPr>
                                <w:t>APRU Undergraduate Leaders Program (ULP) 2016</w:t>
                              </w:r>
                              <w:r w:rsidR="006D38EA">
                                <w:rPr>
                                  <w:rFonts w:ascii="Arial" w:eastAsia="宋体" w:hAnsi="Arial" w:cs="Arial"/>
                                  <w:color w:val="505050"/>
                                  <w:kern w:val="0"/>
                                  <w:sz w:val="17"/>
                                  <w:szCs w:val="17"/>
                                </w:rPr>
                                <w:t xml:space="preserve"> </w:t>
                              </w:r>
                              <w:r w:rsidR="006D38EA">
                                <w:rPr>
                                  <w:rFonts w:ascii="Arial" w:eastAsia="宋体" w:hAnsi="Arial" w:cs="Arial" w:hint="eastAsia"/>
                                  <w:color w:val="505050"/>
                                  <w:kern w:val="0"/>
                                  <w:sz w:val="17"/>
                                  <w:szCs w:val="17"/>
                                </w:rPr>
                                <w:t>will</w:t>
                              </w:r>
                              <w:r w:rsidRPr="00E833B9">
                                <w:rPr>
                                  <w:rFonts w:ascii="Arial" w:eastAsia="宋体" w:hAnsi="Arial" w:cs="Arial"/>
                                  <w:color w:val="505050"/>
                                  <w:kern w:val="0"/>
                                  <w:sz w:val="17"/>
                                  <w:szCs w:val="17"/>
                                </w:rPr>
                                <w:t xml:space="preserve"> be hosted by </w:t>
                              </w:r>
                              <w:hyperlink r:id="rId10" w:history="1">
                                <w:r w:rsidRPr="006D38EA">
                                  <w:rPr>
                                    <w:rStyle w:val="a4"/>
                                    <w:rFonts w:ascii="Arial" w:eastAsia="宋体" w:hAnsi="Arial" w:cs="Arial"/>
                                    <w:kern w:val="0"/>
                                    <w:sz w:val="17"/>
                                    <w:szCs w:val="17"/>
                                  </w:rPr>
                                  <w:t>Tecnológico de Monterrey</w:t>
                                </w:r>
                              </w:hyperlink>
                              <w:r w:rsidRPr="00E833B9">
                                <w:rPr>
                                  <w:rFonts w:ascii="Arial" w:eastAsia="宋体" w:hAnsi="Arial" w:cs="Arial"/>
                                  <w:b/>
                                  <w:bCs/>
                                  <w:color w:val="505050"/>
                                  <w:kern w:val="0"/>
                                  <w:sz w:val="17"/>
                                  <w:szCs w:val="17"/>
                                </w:rPr>
                                <w:t xml:space="preserve"> </w:t>
                              </w:r>
                              <w:r w:rsidR="00537BDE">
                                <w:rPr>
                                  <w:rFonts w:ascii="Arial" w:eastAsia="宋体" w:hAnsi="Arial" w:cs="Arial" w:hint="eastAsia"/>
                                  <w:b/>
                                  <w:bCs/>
                                  <w:color w:val="505050"/>
                                  <w:kern w:val="0"/>
                                  <w:sz w:val="17"/>
                                  <w:szCs w:val="17"/>
                                </w:rPr>
                                <w:t>（此处有超链接）</w:t>
                              </w:r>
                              <w:r w:rsidRPr="00E833B9">
                                <w:rPr>
                                  <w:rFonts w:ascii="Arial" w:eastAsia="宋体" w:hAnsi="Arial" w:cs="Arial"/>
                                  <w:color w:val="505050"/>
                                  <w:kern w:val="0"/>
                                  <w:sz w:val="17"/>
                                  <w:szCs w:val="17"/>
                                </w:rPr>
                                <w:t xml:space="preserve">in México from </w:t>
                              </w:r>
                              <w:r w:rsidRPr="00E833B9">
                                <w:rPr>
                                  <w:rFonts w:ascii="Arial" w:eastAsia="宋体" w:hAnsi="Arial" w:cs="Arial"/>
                                  <w:b/>
                                  <w:bCs/>
                                  <w:color w:val="505050"/>
                                  <w:kern w:val="0"/>
                                  <w:sz w:val="17"/>
                                  <w:szCs w:val="17"/>
                                </w:rPr>
                                <w:t>3 to 13 July</w:t>
                              </w:r>
                              <w:r w:rsidRPr="00E833B9">
                                <w:rPr>
                                  <w:rFonts w:ascii="Arial" w:eastAsia="宋体" w:hAnsi="Arial" w:cs="Arial"/>
                                  <w:color w:val="505050"/>
                                  <w:kern w:val="0"/>
                                  <w:sz w:val="17"/>
                                  <w:szCs w:val="17"/>
                                </w:rPr>
                                <w:t>. First time in the Americas!</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t>The ULP 2016 is a 10-day enriching program for outstanding APRU undergraduate students from multidisciplinary fields.</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r>
                              <w:r w:rsidRPr="00E833B9">
                                <w:rPr>
                                  <w:rFonts w:ascii="Arial" w:eastAsia="宋体" w:hAnsi="Arial" w:cs="Arial"/>
                                  <w:b/>
                                  <w:bCs/>
                                  <w:i/>
                                  <w:iCs/>
                                  <w:color w:val="008080"/>
                                  <w:kern w:val="0"/>
                                  <w:sz w:val="17"/>
                                  <w:szCs w:val="17"/>
                                </w:rPr>
                                <w:t>PROGRAM OVERVIEW</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t xml:space="preserve">With the theme, </w:t>
                              </w:r>
                              <w:hyperlink r:id="rId11" w:history="1">
                                <w:r w:rsidRPr="006E1B25">
                                  <w:rPr>
                                    <w:rStyle w:val="a4"/>
                                    <w:rFonts w:ascii="Arial" w:eastAsia="宋体" w:hAnsi="Arial" w:cs="Arial"/>
                                    <w:kern w:val="0"/>
                                    <w:sz w:val="17"/>
                                    <w:szCs w:val="17"/>
                                  </w:rPr>
                                  <w:t>“INSPIRE: Next generation of innovators”</w:t>
                                </w:r>
                              </w:hyperlink>
                              <w:r w:rsidR="00537BDE">
                                <w:rPr>
                                  <w:rFonts w:ascii="Arial" w:eastAsia="宋体" w:hAnsi="Arial" w:cs="Arial" w:hint="eastAsia"/>
                                  <w:b/>
                                  <w:bCs/>
                                  <w:color w:val="505050"/>
                                  <w:kern w:val="0"/>
                                  <w:sz w:val="17"/>
                                  <w:szCs w:val="17"/>
                                </w:rPr>
                                <w:t xml:space="preserve"> </w:t>
                              </w:r>
                              <w:r w:rsidR="00537BDE">
                                <w:rPr>
                                  <w:rFonts w:ascii="Arial" w:eastAsia="宋体" w:hAnsi="Arial" w:cs="Arial" w:hint="eastAsia"/>
                                  <w:b/>
                                  <w:bCs/>
                                  <w:color w:val="505050"/>
                                  <w:kern w:val="0"/>
                                  <w:sz w:val="17"/>
                                  <w:szCs w:val="17"/>
                                </w:rPr>
                                <w:t>（此处有超链接）</w:t>
                              </w:r>
                              <w:r w:rsidRPr="00E833B9">
                                <w:rPr>
                                  <w:rFonts w:ascii="Arial" w:eastAsia="宋体" w:hAnsi="Arial" w:cs="Arial"/>
                                  <w:color w:val="505050"/>
                                  <w:kern w:val="0"/>
                                  <w:sz w:val="17"/>
                                  <w:szCs w:val="17"/>
                                </w:rPr>
                                <w:t>, the ULP 2016 aims to:</w:t>
                              </w:r>
                              <w:r w:rsidRPr="00E833B9">
                                <w:rPr>
                                  <w:rFonts w:ascii="Arial" w:eastAsia="宋体" w:hAnsi="Arial" w:cs="Arial"/>
                                  <w:color w:val="505050"/>
                                  <w:kern w:val="0"/>
                                  <w:szCs w:val="21"/>
                                </w:rPr>
                                <w:t xml:space="preserve"> </w:t>
                              </w:r>
                            </w:p>
                            <w:p w:rsidR="00E833B9" w:rsidRPr="00E833B9" w:rsidRDefault="00E833B9" w:rsidP="00E833B9">
                              <w:pPr>
                                <w:widowControl/>
                                <w:numPr>
                                  <w:ilvl w:val="0"/>
                                  <w:numId w:val="1"/>
                                </w:numPr>
                                <w:spacing w:before="100" w:beforeAutospacing="1" w:after="100" w:afterAutospacing="1"/>
                                <w:jc w:val="left"/>
                                <w:rPr>
                                  <w:rFonts w:ascii="Arial" w:eastAsia="宋体" w:hAnsi="Arial" w:cs="Arial"/>
                                  <w:color w:val="505050"/>
                                  <w:kern w:val="0"/>
                                  <w:szCs w:val="21"/>
                                </w:rPr>
                              </w:pPr>
                              <w:r w:rsidRPr="00E833B9">
                                <w:rPr>
                                  <w:rFonts w:ascii="Arial" w:eastAsia="宋体" w:hAnsi="Arial" w:cs="Arial"/>
                                  <w:color w:val="505050"/>
                                  <w:kern w:val="0"/>
                                  <w:sz w:val="17"/>
                                  <w:szCs w:val="17"/>
                                </w:rPr>
                                <w:t>enhance the international experience of students from APRU member universities;</w:t>
                              </w:r>
                              <w:r w:rsidRPr="00E833B9">
                                <w:rPr>
                                  <w:rFonts w:ascii="Arial" w:eastAsia="宋体" w:hAnsi="Arial" w:cs="Arial"/>
                                  <w:color w:val="505050"/>
                                  <w:kern w:val="0"/>
                                  <w:szCs w:val="21"/>
                                </w:rPr>
                                <w:t xml:space="preserve"> </w:t>
                              </w:r>
                            </w:p>
                            <w:p w:rsidR="00E833B9" w:rsidRPr="00E833B9" w:rsidRDefault="00E833B9" w:rsidP="00E833B9">
                              <w:pPr>
                                <w:widowControl/>
                                <w:numPr>
                                  <w:ilvl w:val="0"/>
                                  <w:numId w:val="1"/>
                                </w:numPr>
                                <w:spacing w:before="100" w:beforeAutospacing="1" w:after="100" w:afterAutospacing="1"/>
                                <w:jc w:val="left"/>
                                <w:rPr>
                                  <w:rFonts w:ascii="Arial" w:eastAsia="宋体" w:hAnsi="Arial" w:cs="Arial"/>
                                  <w:color w:val="505050"/>
                                  <w:kern w:val="0"/>
                                  <w:szCs w:val="21"/>
                                </w:rPr>
                              </w:pPr>
                              <w:r w:rsidRPr="00E833B9">
                                <w:rPr>
                                  <w:rFonts w:ascii="Arial" w:eastAsia="宋体" w:hAnsi="Arial" w:cs="Arial"/>
                                  <w:color w:val="505050"/>
                                  <w:kern w:val="0"/>
                                  <w:sz w:val="17"/>
                                  <w:szCs w:val="17"/>
                                </w:rPr>
                                <w:t>enrich key competencies and creativity, entrepreneurial and leadership potential of APRU students;</w:t>
                              </w:r>
                              <w:r w:rsidRPr="00E833B9">
                                <w:rPr>
                                  <w:rFonts w:ascii="Arial" w:eastAsia="宋体" w:hAnsi="Arial" w:cs="Arial"/>
                                  <w:color w:val="505050"/>
                                  <w:kern w:val="0"/>
                                  <w:szCs w:val="21"/>
                                </w:rPr>
                                <w:t xml:space="preserve"> </w:t>
                              </w:r>
                            </w:p>
                            <w:p w:rsidR="00E833B9" w:rsidRPr="00E833B9" w:rsidRDefault="00E833B9" w:rsidP="00E833B9">
                              <w:pPr>
                                <w:widowControl/>
                                <w:numPr>
                                  <w:ilvl w:val="0"/>
                                  <w:numId w:val="1"/>
                                </w:numPr>
                                <w:spacing w:before="100" w:beforeAutospacing="1" w:after="100" w:afterAutospacing="1"/>
                                <w:jc w:val="left"/>
                                <w:rPr>
                                  <w:rFonts w:ascii="Arial" w:eastAsia="宋体" w:hAnsi="Arial" w:cs="Arial"/>
                                  <w:color w:val="505050"/>
                                  <w:kern w:val="0"/>
                                  <w:szCs w:val="21"/>
                                </w:rPr>
                              </w:pPr>
                              <w:r w:rsidRPr="00E833B9">
                                <w:rPr>
                                  <w:rFonts w:ascii="Arial" w:eastAsia="宋体" w:hAnsi="Arial" w:cs="Arial"/>
                                  <w:color w:val="505050"/>
                                  <w:kern w:val="0"/>
                                  <w:sz w:val="17"/>
                                  <w:szCs w:val="17"/>
                                </w:rPr>
                                <w:t>promote knowledge transfer and cultural exchange among APRU students; and</w:t>
                              </w:r>
                              <w:r w:rsidRPr="00E833B9">
                                <w:rPr>
                                  <w:rFonts w:ascii="Arial" w:eastAsia="宋体" w:hAnsi="Arial" w:cs="Arial"/>
                                  <w:color w:val="505050"/>
                                  <w:kern w:val="0"/>
                                  <w:szCs w:val="21"/>
                                </w:rPr>
                                <w:t xml:space="preserve"> </w:t>
                              </w:r>
                            </w:p>
                            <w:p w:rsidR="00E833B9" w:rsidRPr="00E833B9" w:rsidRDefault="00E833B9" w:rsidP="00E833B9">
                              <w:pPr>
                                <w:widowControl/>
                                <w:numPr>
                                  <w:ilvl w:val="0"/>
                                  <w:numId w:val="1"/>
                                </w:numPr>
                                <w:spacing w:before="100" w:beforeAutospacing="1" w:after="100" w:afterAutospacing="1"/>
                                <w:jc w:val="left"/>
                                <w:rPr>
                                  <w:rFonts w:ascii="Arial" w:eastAsia="宋体" w:hAnsi="Arial" w:cs="Arial"/>
                                  <w:color w:val="505050"/>
                                  <w:kern w:val="0"/>
                                  <w:szCs w:val="21"/>
                                </w:rPr>
                              </w:pPr>
                              <w:proofErr w:type="gramStart"/>
                              <w:r w:rsidRPr="00E833B9">
                                <w:rPr>
                                  <w:rFonts w:ascii="Arial" w:eastAsia="宋体" w:hAnsi="Arial" w:cs="Arial"/>
                                  <w:color w:val="505050"/>
                                  <w:kern w:val="0"/>
                                  <w:sz w:val="17"/>
                                  <w:szCs w:val="17"/>
                                </w:rPr>
                                <w:lastRenderedPageBreak/>
                                <w:t>explore</w:t>
                              </w:r>
                              <w:proofErr w:type="gramEnd"/>
                              <w:r w:rsidRPr="00E833B9">
                                <w:rPr>
                                  <w:rFonts w:ascii="Arial" w:eastAsia="宋体" w:hAnsi="Arial" w:cs="Arial"/>
                                  <w:color w:val="505050"/>
                                  <w:kern w:val="0"/>
                                  <w:sz w:val="17"/>
                                  <w:szCs w:val="17"/>
                                </w:rPr>
                                <w:t xml:space="preserve"> various aspects of Latin American culture and history.</w:t>
                              </w:r>
                              <w:r w:rsidRPr="00E833B9">
                                <w:rPr>
                                  <w:rFonts w:ascii="Arial" w:eastAsia="宋体" w:hAnsi="Arial" w:cs="Arial"/>
                                  <w:color w:val="505050"/>
                                  <w:kern w:val="0"/>
                                  <w:szCs w:val="21"/>
                                </w:rPr>
                                <w:t xml:space="preserve"> </w:t>
                              </w:r>
                            </w:p>
                            <w:p w:rsidR="00E833B9" w:rsidRPr="00E833B9" w:rsidRDefault="00E833B9" w:rsidP="00EE5408">
                              <w:pPr>
                                <w:widowControl/>
                                <w:jc w:val="left"/>
                                <w:rPr>
                                  <w:rFonts w:ascii="Arial" w:eastAsia="宋体" w:hAnsi="Arial" w:cs="Arial"/>
                                  <w:color w:val="505050"/>
                                  <w:kern w:val="0"/>
                                  <w:szCs w:val="21"/>
                                </w:rPr>
                              </w:pPr>
                              <w:r w:rsidRPr="00E833B9">
                                <w:rPr>
                                  <w:rFonts w:ascii="Arial" w:eastAsia="宋体" w:hAnsi="Arial" w:cs="Arial"/>
                                  <w:color w:val="505050"/>
                                  <w:kern w:val="0"/>
                                  <w:sz w:val="17"/>
                                  <w:szCs w:val="17"/>
                                </w:rPr>
                                <w:t xml:space="preserve">ULP 2016 - “INSPIRE: Next generation of innovators” is a summer program where the participants will have the opportunity to develop competencies to create solutions to real problems of global relevance. They will participate in a </w:t>
                              </w:r>
                              <w:r w:rsidRPr="00E833B9">
                                <w:rPr>
                                  <w:rFonts w:ascii="Arial" w:eastAsia="宋体" w:hAnsi="Arial" w:cs="Arial"/>
                                  <w:b/>
                                  <w:bCs/>
                                  <w:color w:val="505050"/>
                                  <w:kern w:val="0"/>
                                  <w:sz w:val="17"/>
                                  <w:szCs w:val="17"/>
                                </w:rPr>
                                <w:t>DESIGN LAB</w:t>
                              </w:r>
                              <w:r w:rsidRPr="00E833B9">
                                <w:rPr>
                                  <w:rFonts w:ascii="Arial" w:eastAsia="宋体" w:hAnsi="Arial" w:cs="Arial"/>
                                  <w:color w:val="505050"/>
                                  <w:kern w:val="0"/>
                                  <w:sz w:val="17"/>
                                  <w:szCs w:val="17"/>
                                </w:rPr>
                                <w:t>. It will be a collective experience for APRU students in terms of coming up with innovative proposals and gain new perspectives on co-creation in a multidisciplinary and multinational context.</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t xml:space="preserve">Program activities include theme-related lectures, </w:t>
                              </w:r>
                              <w:proofErr w:type="spellStart"/>
                              <w:r w:rsidRPr="00E833B9">
                                <w:rPr>
                                  <w:rFonts w:ascii="Arial" w:eastAsia="宋体" w:hAnsi="Arial" w:cs="Arial"/>
                                  <w:color w:val="505050"/>
                                  <w:kern w:val="0"/>
                                  <w:sz w:val="17"/>
                                  <w:szCs w:val="17"/>
                                </w:rPr>
                                <w:t>masterclasses</w:t>
                              </w:r>
                              <w:proofErr w:type="spellEnd"/>
                              <w:r w:rsidRPr="00E833B9">
                                <w:rPr>
                                  <w:rFonts w:ascii="Arial" w:eastAsia="宋体" w:hAnsi="Arial" w:cs="Arial"/>
                                  <w:color w:val="505050"/>
                                  <w:kern w:val="0"/>
                                  <w:sz w:val="17"/>
                                  <w:szCs w:val="17"/>
                                </w:rPr>
                                <w:t>, seminars and workshops with cultural and social activities focusing on: leadership, knowledge and creative economy, new technologies and innovation, cultural innovation, design thinking, sustainability and entrepreneurship.</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t>These activities are being developed and designed to help students further develop their leadership skills and competencies. Distinguished faculty, facilitators and outstanding students from the host university and its partner institutions will be invited as speakers and resource persons. The proceedings of the program will be conducted in English.</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r>
                              <w:r w:rsidRPr="00E833B9">
                                <w:rPr>
                                  <w:rFonts w:ascii="Arial" w:eastAsia="宋体" w:hAnsi="Arial" w:cs="Arial"/>
                                  <w:i/>
                                  <w:iCs/>
                                  <w:color w:val="505050"/>
                                  <w:kern w:val="0"/>
                                  <w:sz w:val="17"/>
                                  <w:szCs w:val="17"/>
                                </w:rPr>
                                <w:t>The preliminary program schedule is available on the ULP</w:t>
                              </w:r>
                              <w:r w:rsidR="006E1B25">
                                <w:rPr>
                                  <w:rFonts w:ascii="Arial" w:eastAsia="宋体" w:hAnsi="Arial" w:cs="Arial"/>
                                  <w:i/>
                                  <w:iCs/>
                                  <w:color w:val="505050"/>
                                  <w:kern w:val="0"/>
                                  <w:sz w:val="17"/>
                                  <w:szCs w:val="17"/>
                                </w:rPr>
                                <w:t xml:space="preserve"> 2016 website and can be viewed</w:t>
                              </w:r>
                              <w:r w:rsidR="006E1B25">
                                <w:rPr>
                                  <w:rFonts w:ascii="Arial" w:eastAsia="宋体" w:hAnsi="Arial" w:cs="Arial" w:hint="eastAsia"/>
                                  <w:i/>
                                  <w:iCs/>
                                  <w:color w:val="505050"/>
                                  <w:kern w:val="0"/>
                                  <w:sz w:val="17"/>
                                  <w:szCs w:val="17"/>
                                </w:rPr>
                                <w:t xml:space="preserve"> in attachment 1</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r>
                              <w:r w:rsidRPr="00E833B9">
                                <w:rPr>
                                  <w:rFonts w:ascii="Arial" w:eastAsia="宋体" w:hAnsi="Arial" w:cs="Arial"/>
                                  <w:b/>
                                  <w:bCs/>
                                  <w:i/>
                                  <w:iCs/>
                                  <w:color w:val="008080"/>
                                  <w:kern w:val="0"/>
                                  <w:sz w:val="17"/>
                                  <w:szCs w:val="17"/>
                                </w:rPr>
                                <w:t>PARTICIPATION IS OPEN TO APRU STUDENTS!</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t>The multidisciplinary format the program encourages the participation and engagement of students from various disciplines. Students enrolled in an undergraduate program at an APRU member university are eligible to apply for the ULP. Students should apply through the relevant department or office within their respective institution.</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t>APRU undergraduate students from 3rd semester onwards (i.e. 2nd and 3rd year) are welcome. We encourage the participation of students with strong interest in</w:t>
                              </w:r>
                              <w:proofErr w:type="gramStart"/>
                              <w:r w:rsidRPr="00E833B9">
                                <w:rPr>
                                  <w:rFonts w:ascii="Arial" w:eastAsia="宋体" w:hAnsi="Arial" w:cs="Arial"/>
                                  <w:color w:val="505050"/>
                                  <w:kern w:val="0"/>
                                  <w:sz w:val="17"/>
                                  <w:szCs w:val="17"/>
                                </w:rPr>
                                <w:t>:</w:t>
                              </w:r>
                              <w:proofErr w:type="gramEnd"/>
                              <w:r w:rsidRPr="00E833B9">
                                <w:rPr>
                                  <w:rFonts w:ascii="Arial" w:eastAsia="宋体" w:hAnsi="Arial" w:cs="Arial"/>
                                  <w:color w:val="505050"/>
                                  <w:kern w:val="0"/>
                                  <w:sz w:val="17"/>
                                  <w:szCs w:val="17"/>
                                </w:rPr>
                                <w:br/>
                                <w:t>- Learning new technologies (no previous knowledge or subject background required);</w:t>
                              </w:r>
                              <w:r w:rsidRPr="00E833B9">
                                <w:rPr>
                                  <w:rFonts w:ascii="Arial" w:eastAsia="宋体" w:hAnsi="Arial" w:cs="Arial"/>
                                  <w:color w:val="505050"/>
                                  <w:kern w:val="0"/>
                                  <w:sz w:val="17"/>
                                  <w:szCs w:val="17"/>
                                </w:rPr>
                                <w:br/>
                                <w:t>- Developing new ideas for sustainable projects; and</w:t>
                              </w:r>
                              <w:r w:rsidRPr="00E833B9">
                                <w:rPr>
                                  <w:rFonts w:ascii="Arial" w:eastAsia="宋体" w:hAnsi="Arial" w:cs="Arial"/>
                                  <w:color w:val="505050"/>
                                  <w:kern w:val="0"/>
                                  <w:sz w:val="17"/>
                                  <w:szCs w:val="17"/>
                                </w:rPr>
                                <w:br/>
                                <w:t>- Learning new cultures</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r>
                              <w:r w:rsidRPr="00E833B9">
                                <w:rPr>
                                  <w:rFonts w:ascii="Arial" w:eastAsia="宋体" w:hAnsi="Arial" w:cs="Arial"/>
                                  <w:b/>
                                  <w:bCs/>
                                  <w:i/>
                                  <w:iCs/>
                                  <w:color w:val="505050"/>
                                  <w:kern w:val="0"/>
                                  <w:sz w:val="17"/>
                                  <w:szCs w:val="17"/>
                                </w:rPr>
                                <w:t>APRU member universities may nominate up to five students for the ULP</w:t>
                              </w:r>
                              <w:r w:rsidRPr="00E833B9">
                                <w:rPr>
                                  <w:rFonts w:ascii="Arial" w:eastAsia="宋体" w:hAnsi="Arial" w:cs="Arial"/>
                                  <w:color w:val="505050"/>
                                  <w:kern w:val="0"/>
                                  <w:sz w:val="17"/>
                                  <w:szCs w:val="17"/>
                                </w:rPr>
                                <w:t>, however the participation in ULP 2016 will be capped at 60 students to ensure the academic and experi</w:t>
                              </w:r>
                              <w:r w:rsidR="00EE5408">
                                <w:rPr>
                                  <w:rFonts w:ascii="Arial" w:eastAsia="宋体" w:hAnsi="Arial" w:cs="Arial"/>
                                  <w:color w:val="505050"/>
                                  <w:kern w:val="0"/>
                                  <w:sz w:val="17"/>
                                  <w:szCs w:val="17"/>
                                </w:rPr>
                                <w:t>ential quality of the program.</w:t>
                              </w:r>
                              <w:r w:rsidR="00EE5408">
                                <w:rPr>
                                  <w:rFonts w:ascii="Arial" w:eastAsia="宋体" w:hAnsi="Arial" w:cs="Arial"/>
                                  <w:color w:val="505050"/>
                                  <w:kern w:val="0"/>
                                  <w:sz w:val="17"/>
                                  <w:szCs w:val="17"/>
                                </w:rPr>
                                <w:br/>
                              </w:r>
                              <w:r w:rsidRPr="00E833B9">
                                <w:rPr>
                                  <w:rFonts w:ascii="Arial" w:eastAsia="宋体" w:hAnsi="Arial" w:cs="Arial"/>
                                  <w:color w:val="505050"/>
                                  <w:kern w:val="0"/>
                                  <w:sz w:val="17"/>
                                  <w:szCs w:val="17"/>
                                </w:rPr>
                                <w:br/>
                              </w:r>
                              <w:r w:rsidRPr="00E833B9">
                                <w:rPr>
                                  <w:rFonts w:ascii="Arial" w:eastAsia="宋体" w:hAnsi="Arial" w:cs="Arial"/>
                                  <w:b/>
                                  <w:bCs/>
                                  <w:i/>
                                  <w:iCs/>
                                  <w:color w:val="008080"/>
                                  <w:kern w:val="0"/>
                                  <w:sz w:val="17"/>
                                  <w:szCs w:val="17"/>
                                </w:rPr>
                                <w:t>REGISTRATION AND OTHER INFORMATION</w:t>
                              </w:r>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r>
                              <w:proofErr w:type="spellStart"/>
                              <w:r w:rsidRPr="00E833B9">
                                <w:rPr>
                                  <w:rFonts w:ascii="Arial" w:eastAsia="宋体" w:hAnsi="Arial" w:cs="Arial"/>
                                  <w:color w:val="505050"/>
                                  <w:kern w:val="0"/>
                                  <w:sz w:val="17"/>
                                  <w:szCs w:val="17"/>
                                </w:rPr>
                                <w:t>Information</w:t>
                              </w:r>
                              <w:proofErr w:type="spellEnd"/>
                              <w:r w:rsidRPr="00E833B9">
                                <w:rPr>
                                  <w:rFonts w:ascii="Arial" w:eastAsia="宋体" w:hAnsi="Arial" w:cs="Arial"/>
                                  <w:color w:val="505050"/>
                                  <w:kern w:val="0"/>
                                  <w:sz w:val="17"/>
                                  <w:szCs w:val="17"/>
                                </w:rPr>
                                <w:t xml:space="preserve"> on registration, fees, key dates, visas and contact information are available on </w:t>
                              </w:r>
                              <w:r w:rsidRPr="00E833B9">
                                <w:rPr>
                                  <w:rFonts w:ascii="Arial" w:eastAsia="宋体" w:hAnsi="Arial" w:cs="Arial"/>
                                  <w:color w:val="505050"/>
                                  <w:kern w:val="0"/>
                                  <w:sz w:val="17"/>
                                  <w:szCs w:val="17"/>
                                </w:rPr>
                                <w:lastRenderedPageBreak/>
                                <w:t>the ULP 2016 website at</w:t>
                              </w:r>
                              <w:proofErr w:type="gramStart"/>
                              <w:r w:rsidRPr="00E833B9">
                                <w:rPr>
                                  <w:rFonts w:ascii="Arial" w:eastAsia="宋体" w:hAnsi="Arial" w:cs="Arial"/>
                                  <w:color w:val="505050"/>
                                  <w:kern w:val="0"/>
                                  <w:sz w:val="17"/>
                                  <w:szCs w:val="17"/>
                                </w:rPr>
                                <w:t>:</w:t>
                              </w:r>
                              <w:proofErr w:type="gramEnd"/>
                              <w:r w:rsidRPr="00E833B9">
                                <w:rPr>
                                  <w:rFonts w:ascii="Arial" w:eastAsia="宋体" w:hAnsi="Arial" w:cs="Arial"/>
                                  <w:color w:val="505050"/>
                                  <w:kern w:val="0"/>
                                  <w:sz w:val="17"/>
                                  <w:szCs w:val="17"/>
                                </w:rPr>
                                <w:br/>
                              </w:r>
                              <w:hyperlink r:id="rId12" w:tgtFrame="_blank" w:history="1">
                                <w:r w:rsidRPr="00E833B9">
                                  <w:rPr>
                                    <w:rFonts w:ascii="Arial" w:eastAsia="宋体" w:hAnsi="Arial" w:cs="Arial"/>
                                    <w:color w:val="336699"/>
                                    <w:kern w:val="0"/>
                                    <w:sz w:val="17"/>
                                    <w:szCs w:val="17"/>
                                    <w:u w:val="single"/>
                                  </w:rPr>
                                  <w:t>http://sitios.itesm.mx/vi/convocatoria_apru.html</w:t>
                                </w:r>
                              </w:hyperlink>
                              <w:r w:rsidRPr="00E833B9">
                                <w:rPr>
                                  <w:rFonts w:ascii="Arial" w:eastAsia="宋体" w:hAnsi="Arial" w:cs="Arial"/>
                                  <w:color w:val="505050"/>
                                  <w:kern w:val="0"/>
                                  <w:sz w:val="17"/>
                                  <w:szCs w:val="17"/>
                                </w:rPr>
                                <w:br/>
                              </w:r>
                              <w:r w:rsidRPr="00E833B9">
                                <w:rPr>
                                  <w:rFonts w:ascii="Arial" w:eastAsia="宋体" w:hAnsi="Arial" w:cs="Arial"/>
                                  <w:color w:val="505050"/>
                                  <w:kern w:val="0"/>
                                  <w:sz w:val="17"/>
                                  <w:szCs w:val="17"/>
                                </w:rPr>
                                <w:br/>
                                <w:t xml:space="preserve">Registration will close on </w:t>
                              </w:r>
                              <w:r w:rsidRPr="00E833B9">
                                <w:rPr>
                                  <w:rFonts w:ascii="Arial" w:eastAsia="宋体" w:hAnsi="Arial" w:cs="Arial"/>
                                  <w:b/>
                                  <w:bCs/>
                                  <w:i/>
                                  <w:iCs/>
                                  <w:color w:val="505050"/>
                                  <w:kern w:val="0"/>
                                  <w:sz w:val="17"/>
                                  <w:szCs w:val="17"/>
                                </w:rPr>
                                <w:t>30 April 2016</w:t>
                              </w:r>
                              <w:r w:rsidRPr="00E833B9">
                                <w:rPr>
                                  <w:rFonts w:ascii="Arial" w:eastAsia="宋体" w:hAnsi="Arial" w:cs="Arial"/>
                                  <w:color w:val="505050"/>
                                  <w:kern w:val="0"/>
                                  <w:sz w:val="17"/>
                                  <w:szCs w:val="17"/>
                                </w:rPr>
                                <w:t>.</w:t>
                              </w:r>
                              <w:r w:rsidRPr="00E833B9">
                                <w:rPr>
                                  <w:rFonts w:ascii="Arial" w:eastAsia="宋体" w:hAnsi="Arial" w:cs="Arial"/>
                                  <w:color w:val="505050"/>
                                  <w:kern w:val="0"/>
                                  <w:sz w:val="17"/>
                                  <w:szCs w:val="17"/>
                                </w:rPr>
                                <w:br/>
                                <w:t>We look forward to the participation of your</w:t>
                              </w:r>
                              <w:r w:rsidR="006E1B25">
                                <w:rPr>
                                  <w:rFonts w:ascii="Arial" w:eastAsia="宋体" w:hAnsi="Arial" w:cs="Arial"/>
                                  <w:color w:val="505050"/>
                                  <w:kern w:val="0"/>
                                  <w:sz w:val="17"/>
                                  <w:szCs w:val="17"/>
                                </w:rPr>
                                <w:t xml:space="preserve"> students in APRU’s ULP 2016.</w:t>
                              </w:r>
                            </w:p>
                          </w:tc>
                        </w:tr>
                      </w:tbl>
                      <w:p w:rsidR="00E833B9" w:rsidRPr="00E833B9" w:rsidRDefault="00E833B9" w:rsidP="00E833B9">
                        <w:pPr>
                          <w:widowControl/>
                          <w:jc w:val="left"/>
                          <w:rPr>
                            <w:rFonts w:ascii="宋体" w:eastAsia="宋体" w:hAnsi="宋体" w:cs="宋体"/>
                            <w:color w:val="000000"/>
                            <w:kern w:val="0"/>
                            <w:szCs w:val="21"/>
                          </w:rPr>
                        </w:pPr>
                      </w:p>
                    </w:tc>
                  </w:tr>
                </w:tbl>
                <w:p w:rsidR="00E833B9" w:rsidRPr="00E833B9" w:rsidRDefault="00E833B9" w:rsidP="00E833B9">
                  <w:pPr>
                    <w:widowControl/>
                    <w:jc w:val="left"/>
                    <w:rPr>
                      <w:rFonts w:ascii="宋体" w:eastAsia="宋体" w:hAnsi="宋体" w:cs="宋体"/>
                      <w:color w:val="000000"/>
                      <w:kern w:val="0"/>
                      <w:szCs w:val="21"/>
                    </w:rPr>
                  </w:pPr>
                </w:p>
              </w:tc>
            </w:tr>
          </w:tbl>
          <w:p w:rsidR="00E833B9" w:rsidRPr="00E833B9" w:rsidRDefault="00E833B9" w:rsidP="00E833B9">
            <w:pPr>
              <w:widowControl/>
              <w:jc w:val="center"/>
              <w:rPr>
                <w:rFonts w:ascii="宋体" w:eastAsia="宋体" w:hAnsi="宋体" w:cs="宋体"/>
                <w:color w:val="000000"/>
                <w:kern w:val="0"/>
                <w:szCs w:val="21"/>
              </w:rPr>
            </w:pPr>
          </w:p>
        </w:tc>
      </w:tr>
    </w:tbl>
    <w:p w:rsidR="00B86546" w:rsidRPr="00EE5408" w:rsidRDefault="00B86546" w:rsidP="00EE5408">
      <w:pPr>
        <w:rPr>
          <w:sz w:val="28"/>
          <w:szCs w:val="28"/>
        </w:rPr>
      </w:pPr>
    </w:p>
    <w:sectPr w:rsidR="00B86546" w:rsidRPr="00EE54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D6" w:rsidRDefault="00CB69D6" w:rsidP="00EE5408">
      <w:r>
        <w:separator/>
      </w:r>
    </w:p>
  </w:endnote>
  <w:endnote w:type="continuationSeparator" w:id="0">
    <w:p w:rsidR="00CB69D6" w:rsidRDefault="00CB69D6" w:rsidP="00EE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D6" w:rsidRDefault="00CB69D6" w:rsidP="00EE5408">
      <w:r>
        <w:separator/>
      </w:r>
    </w:p>
  </w:footnote>
  <w:footnote w:type="continuationSeparator" w:id="0">
    <w:p w:rsidR="00CB69D6" w:rsidRDefault="00CB69D6" w:rsidP="00EE54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D58FF"/>
    <w:multiLevelType w:val="multilevel"/>
    <w:tmpl w:val="D024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3B9"/>
    <w:rsid w:val="00131734"/>
    <w:rsid w:val="00537BDE"/>
    <w:rsid w:val="006D38EA"/>
    <w:rsid w:val="006E1B25"/>
    <w:rsid w:val="00B86546"/>
    <w:rsid w:val="00CB69D6"/>
    <w:rsid w:val="00E833B9"/>
    <w:rsid w:val="00EE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833B9"/>
    <w:rPr>
      <w:sz w:val="18"/>
      <w:szCs w:val="18"/>
    </w:rPr>
  </w:style>
  <w:style w:type="character" w:customStyle="1" w:styleId="Char">
    <w:name w:val="批注框文本 Char"/>
    <w:basedOn w:val="a0"/>
    <w:link w:val="a3"/>
    <w:uiPriority w:val="99"/>
    <w:semiHidden/>
    <w:rsid w:val="00E833B9"/>
    <w:rPr>
      <w:sz w:val="18"/>
      <w:szCs w:val="18"/>
    </w:rPr>
  </w:style>
  <w:style w:type="character" w:styleId="a4">
    <w:name w:val="Hyperlink"/>
    <w:basedOn w:val="a0"/>
    <w:uiPriority w:val="99"/>
    <w:unhideWhenUsed/>
    <w:rsid w:val="00E833B9"/>
    <w:rPr>
      <w:strike w:val="0"/>
      <w:dstrike w:val="0"/>
      <w:color w:val="3894C1"/>
      <w:u w:val="none"/>
      <w:effect w:val="none"/>
    </w:rPr>
  </w:style>
  <w:style w:type="character" w:styleId="a5">
    <w:name w:val="Emphasis"/>
    <w:basedOn w:val="a0"/>
    <w:uiPriority w:val="20"/>
    <w:qFormat/>
    <w:rsid w:val="00E833B9"/>
    <w:rPr>
      <w:i/>
      <w:iCs/>
    </w:rPr>
  </w:style>
  <w:style w:type="character" w:styleId="a6">
    <w:name w:val="Strong"/>
    <w:basedOn w:val="a0"/>
    <w:uiPriority w:val="22"/>
    <w:qFormat/>
    <w:rsid w:val="00E833B9"/>
    <w:rPr>
      <w:b/>
      <w:bCs/>
    </w:rPr>
  </w:style>
  <w:style w:type="character" w:styleId="a7">
    <w:name w:val="FollowedHyperlink"/>
    <w:basedOn w:val="a0"/>
    <w:uiPriority w:val="99"/>
    <w:semiHidden/>
    <w:unhideWhenUsed/>
    <w:rsid w:val="006D38EA"/>
    <w:rPr>
      <w:color w:val="800080" w:themeColor="followedHyperlink"/>
      <w:u w:val="single"/>
    </w:rPr>
  </w:style>
  <w:style w:type="paragraph" w:styleId="a8">
    <w:name w:val="header"/>
    <w:basedOn w:val="a"/>
    <w:link w:val="Char0"/>
    <w:uiPriority w:val="99"/>
    <w:unhideWhenUsed/>
    <w:rsid w:val="00EE54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E5408"/>
    <w:rPr>
      <w:sz w:val="18"/>
      <w:szCs w:val="18"/>
    </w:rPr>
  </w:style>
  <w:style w:type="paragraph" w:styleId="a9">
    <w:name w:val="footer"/>
    <w:basedOn w:val="a"/>
    <w:link w:val="Char1"/>
    <w:uiPriority w:val="99"/>
    <w:unhideWhenUsed/>
    <w:rsid w:val="00EE5408"/>
    <w:pPr>
      <w:tabs>
        <w:tab w:val="center" w:pos="4153"/>
        <w:tab w:val="right" w:pos="8306"/>
      </w:tabs>
      <w:snapToGrid w:val="0"/>
      <w:jc w:val="left"/>
    </w:pPr>
    <w:rPr>
      <w:sz w:val="18"/>
      <w:szCs w:val="18"/>
    </w:rPr>
  </w:style>
  <w:style w:type="character" w:customStyle="1" w:styleId="Char1">
    <w:name w:val="页脚 Char"/>
    <w:basedOn w:val="a0"/>
    <w:link w:val="a9"/>
    <w:uiPriority w:val="99"/>
    <w:rsid w:val="00EE54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833B9"/>
    <w:rPr>
      <w:sz w:val="18"/>
      <w:szCs w:val="18"/>
    </w:rPr>
  </w:style>
  <w:style w:type="character" w:customStyle="1" w:styleId="Char">
    <w:name w:val="批注框文本 Char"/>
    <w:basedOn w:val="a0"/>
    <w:link w:val="a3"/>
    <w:uiPriority w:val="99"/>
    <w:semiHidden/>
    <w:rsid w:val="00E833B9"/>
    <w:rPr>
      <w:sz w:val="18"/>
      <w:szCs w:val="18"/>
    </w:rPr>
  </w:style>
  <w:style w:type="character" w:styleId="a4">
    <w:name w:val="Hyperlink"/>
    <w:basedOn w:val="a0"/>
    <w:uiPriority w:val="99"/>
    <w:unhideWhenUsed/>
    <w:rsid w:val="00E833B9"/>
    <w:rPr>
      <w:strike w:val="0"/>
      <w:dstrike w:val="0"/>
      <w:color w:val="3894C1"/>
      <w:u w:val="none"/>
      <w:effect w:val="none"/>
    </w:rPr>
  </w:style>
  <w:style w:type="character" w:styleId="a5">
    <w:name w:val="Emphasis"/>
    <w:basedOn w:val="a0"/>
    <w:uiPriority w:val="20"/>
    <w:qFormat/>
    <w:rsid w:val="00E833B9"/>
    <w:rPr>
      <w:i/>
      <w:iCs/>
    </w:rPr>
  </w:style>
  <w:style w:type="character" w:styleId="a6">
    <w:name w:val="Strong"/>
    <w:basedOn w:val="a0"/>
    <w:uiPriority w:val="22"/>
    <w:qFormat/>
    <w:rsid w:val="00E833B9"/>
    <w:rPr>
      <w:b/>
      <w:bCs/>
    </w:rPr>
  </w:style>
  <w:style w:type="character" w:styleId="a7">
    <w:name w:val="FollowedHyperlink"/>
    <w:basedOn w:val="a0"/>
    <w:uiPriority w:val="99"/>
    <w:semiHidden/>
    <w:unhideWhenUsed/>
    <w:rsid w:val="006D38EA"/>
    <w:rPr>
      <w:color w:val="800080" w:themeColor="followedHyperlink"/>
      <w:u w:val="single"/>
    </w:rPr>
  </w:style>
  <w:style w:type="paragraph" w:styleId="a8">
    <w:name w:val="header"/>
    <w:basedOn w:val="a"/>
    <w:link w:val="Char0"/>
    <w:uiPriority w:val="99"/>
    <w:unhideWhenUsed/>
    <w:rsid w:val="00EE54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EE5408"/>
    <w:rPr>
      <w:sz w:val="18"/>
      <w:szCs w:val="18"/>
    </w:rPr>
  </w:style>
  <w:style w:type="paragraph" w:styleId="a9">
    <w:name w:val="footer"/>
    <w:basedOn w:val="a"/>
    <w:link w:val="Char1"/>
    <w:uiPriority w:val="99"/>
    <w:unhideWhenUsed/>
    <w:rsid w:val="00EE5408"/>
    <w:pPr>
      <w:tabs>
        <w:tab w:val="center" w:pos="4153"/>
        <w:tab w:val="right" w:pos="8306"/>
      </w:tabs>
      <w:snapToGrid w:val="0"/>
      <w:jc w:val="left"/>
    </w:pPr>
    <w:rPr>
      <w:sz w:val="18"/>
      <w:szCs w:val="18"/>
    </w:rPr>
  </w:style>
  <w:style w:type="character" w:customStyle="1" w:styleId="Char1">
    <w:name w:val="页脚 Char"/>
    <w:basedOn w:val="a0"/>
    <w:link w:val="a9"/>
    <w:uiPriority w:val="99"/>
    <w:rsid w:val="00EE54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25787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13945589">
          <w:marLeft w:val="0"/>
          <w:marRight w:val="0"/>
          <w:marTop w:val="0"/>
          <w:marBottom w:val="0"/>
          <w:divBdr>
            <w:top w:val="none" w:sz="0" w:space="0" w:color="auto"/>
            <w:left w:val="none" w:sz="0" w:space="0" w:color="auto"/>
            <w:bottom w:val="none" w:sz="0" w:space="0" w:color="auto"/>
            <w:right w:val="none" w:sz="0" w:space="0" w:color="auto"/>
          </w:divBdr>
        </w:div>
        <w:div w:id="265582297">
          <w:marLeft w:val="0"/>
          <w:marRight w:val="0"/>
          <w:marTop w:val="0"/>
          <w:marBottom w:val="0"/>
          <w:divBdr>
            <w:top w:val="none" w:sz="0" w:space="0" w:color="auto"/>
            <w:left w:val="none" w:sz="0" w:space="0" w:color="auto"/>
            <w:bottom w:val="none" w:sz="0" w:space="0" w:color="auto"/>
            <w:right w:val="none" w:sz="0" w:space="0" w:color="auto"/>
          </w:divBdr>
        </w:div>
        <w:div w:id="364868920">
          <w:marLeft w:val="0"/>
          <w:marRight w:val="0"/>
          <w:marTop w:val="0"/>
          <w:marBottom w:val="0"/>
          <w:divBdr>
            <w:top w:val="none" w:sz="0" w:space="0" w:color="auto"/>
            <w:left w:val="none" w:sz="0" w:space="0" w:color="auto"/>
            <w:bottom w:val="none" w:sz="0" w:space="0" w:color="auto"/>
            <w:right w:val="none" w:sz="0" w:space="0" w:color="auto"/>
          </w:divBdr>
        </w:div>
        <w:div w:id="149833426">
          <w:marLeft w:val="0"/>
          <w:marRight w:val="0"/>
          <w:marTop w:val="0"/>
          <w:marBottom w:val="0"/>
          <w:divBdr>
            <w:top w:val="none" w:sz="0" w:space="0" w:color="auto"/>
            <w:left w:val="none" w:sz="0" w:space="0" w:color="auto"/>
            <w:bottom w:val="none" w:sz="0" w:space="0" w:color="auto"/>
            <w:right w:val="none" w:sz="0" w:space="0" w:color="auto"/>
          </w:divBdr>
        </w:div>
        <w:div w:id="2040885194">
          <w:marLeft w:val="0"/>
          <w:marRight w:val="0"/>
          <w:marTop w:val="0"/>
          <w:marBottom w:val="0"/>
          <w:divBdr>
            <w:top w:val="none" w:sz="0" w:space="0" w:color="auto"/>
            <w:left w:val="none" w:sz="0" w:space="0" w:color="auto"/>
            <w:bottom w:val="none" w:sz="0" w:space="0" w:color="auto"/>
            <w:right w:val="none" w:sz="0" w:space="0" w:color="auto"/>
          </w:divBdr>
        </w:div>
        <w:div w:id="1183402814">
          <w:marLeft w:val="0"/>
          <w:marRight w:val="0"/>
          <w:marTop w:val="0"/>
          <w:marBottom w:val="0"/>
          <w:divBdr>
            <w:top w:val="none" w:sz="0" w:space="0" w:color="auto"/>
            <w:left w:val="none" w:sz="0" w:space="0" w:color="auto"/>
            <w:bottom w:val="none" w:sz="0" w:space="0" w:color="auto"/>
            <w:right w:val="none" w:sz="0" w:space="0" w:color="auto"/>
          </w:divBdr>
        </w:div>
        <w:div w:id="972490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ru.us6.list-manage.com/track/click?u=7251ff0af2ea5314dd7f5b33b&amp;id=4f757b79ae&amp;e=2e74aff7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ios.itesm.mx/vi/convocatoria_apru.html" TargetMode="External"/><Relationship Id="rId5" Type="http://schemas.openxmlformats.org/officeDocument/2006/relationships/settings" Target="settings.xml"/><Relationship Id="rId10" Type="http://schemas.openxmlformats.org/officeDocument/2006/relationships/hyperlink" Target="http://www.itesm.mx/wps/wcm/connect/ITESM/Tecnologico+de+Monterrey/Englis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7B6E-6FBB-4E70-B085-D8700412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2016-04-19T01:49:00Z</dcterms:created>
  <dcterms:modified xsi:type="dcterms:W3CDTF">2016-04-20T01:21:00Z</dcterms:modified>
</cp:coreProperties>
</file>